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2D" w:rsidRPr="0097612D" w:rsidRDefault="0097612D" w:rsidP="0097612D">
      <w:pPr>
        <w:jc w:val="center"/>
        <w:rPr>
          <w:b/>
          <w:bCs/>
          <w:sz w:val="32"/>
          <w:szCs w:val="32"/>
          <w:lang w:val="uk-UA"/>
        </w:rPr>
      </w:pPr>
      <w:r w:rsidRPr="0097612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7612D">
        <w:rPr>
          <w:b/>
          <w:bCs/>
          <w:sz w:val="32"/>
          <w:szCs w:val="32"/>
          <w:lang w:val="uk-UA"/>
        </w:rPr>
        <w:t>Н</w:t>
      </w:r>
      <w:proofErr w:type="spellEnd"/>
      <w:r w:rsidRPr="0097612D">
        <w:rPr>
          <w:b/>
          <w:bCs/>
          <w:sz w:val="32"/>
          <w:szCs w:val="32"/>
          <w:lang w:val="uk-UA"/>
        </w:rPr>
        <w:t xml:space="preserve"> Я</w:t>
      </w:r>
    </w:p>
    <w:p w:rsidR="0097612D" w:rsidRPr="0097612D" w:rsidRDefault="0097612D" w:rsidP="0097612D">
      <w:pPr>
        <w:rPr>
          <w:b/>
          <w:bCs/>
          <w:sz w:val="32"/>
          <w:szCs w:val="32"/>
          <w:lang w:val="uk-UA"/>
        </w:rPr>
      </w:pPr>
    </w:p>
    <w:p w:rsidR="0097612D" w:rsidRPr="0097612D" w:rsidRDefault="00F63B7C" w:rsidP="0097612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16</w:t>
      </w:r>
      <w:r w:rsidR="0097612D" w:rsidRPr="0097612D">
        <w:rPr>
          <w:bCs/>
          <w:sz w:val="26"/>
          <w:szCs w:val="26"/>
          <w:lang w:val="uk-UA"/>
        </w:rPr>
        <w:t xml:space="preserve"> лютого 2023 року</w:t>
      </w:r>
      <w:r w:rsidR="0097612D" w:rsidRPr="0097612D">
        <w:rPr>
          <w:bCs/>
          <w:sz w:val="26"/>
          <w:szCs w:val="26"/>
          <w:lang w:val="uk-UA"/>
        </w:rPr>
        <w:tab/>
      </w:r>
      <w:r w:rsidR="0097612D" w:rsidRPr="0097612D">
        <w:rPr>
          <w:bCs/>
          <w:sz w:val="26"/>
          <w:szCs w:val="26"/>
          <w:lang w:val="uk-UA"/>
        </w:rPr>
        <w:tab/>
        <w:t xml:space="preserve">    м. Синельникове</w:t>
      </w:r>
      <w:r w:rsidR="0097612D" w:rsidRPr="0097612D">
        <w:rPr>
          <w:bCs/>
          <w:sz w:val="26"/>
          <w:szCs w:val="26"/>
          <w:lang w:val="uk-UA"/>
        </w:rPr>
        <w:tab/>
      </w:r>
      <w:r w:rsidR="0097612D" w:rsidRPr="0097612D">
        <w:rPr>
          <w:bCs/>
          <w:sz w:val="26"/>
          <w:szCs w:val="26"/>
          <w:lang w:val="uk-UA"/>
        </w:rPr>
        <w:tab/>
      </w:r>
      <w:r w:rsidR="0097612D" w:rsidRPr="0097612D">
        <w:rPr>
          <w:bCs/>
          <w:sz w:val="26"/>
          <w:szCs w:val="26"/>
          <w:lang w:val="uk-UA"/>
        </w:rPr>
        <w:tab/>
        <w:t xml:space="preserve">№ </w:t>
      </w:r>
      <w:r>
        <w:rPr>
          <w:bCs/>
          <w:sz w:val="26"/>
          <w:szCs w:val="26"/>
          <w:lang w:val="uk-UA"/>
        </w:rPr>
        <w:t>52</w:t>
      </w:r>
      <w:r w:rsidR="0097612D" w:rsidRPr="0097612D">
        <w:rPr>
          <w:bCs/>
          <w:sz w:val="26"/>
          <w:szCs w:val="26"/>
          <w:lang w:val="uk-UA"/>
        </w:rPr>
        <w:t>/0/8-23</w:t>
      </w:r>
    </w:p>
    <w:p w:rsidR="0097612D" w:rsidRPr="0097612D" w:rsidRDefault="0097612D" w:rsidP="0097612D">
      <w:pPr>
        <w:rPr>
          <w:b/>
          <w:sz w:val="28"/>
          <w:szCs w:val="28"/>
          <w:lang w:val="uk-UA"/>
        </w:rPr>
      </w:pPr>
    </w:p>
    <w:p w:rsidR="0097612D" w:rsidRPr="0097612D" w:rsidRDefault="00BD2F03" w:rsidP="0097612D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/>
        </w:rPr>
        <w:pict>
          <v:line id="_x0000_s1139" style="position:absolute;left:0;text-align:left;z-index:4" from="207.35pt,2.85pt" to="207.35pt,9.65pt"/>
        </w:pict>
      </w:r>
      <w:r>
        <w:rPr>
          <w:noProof/>
          <w:lang w:val="uk-UA"/>
        </w:rPr>
        <w:pict>
          <v:line id="_x0000_s1137" style="position:absolute;left:0;text-align:left;z-index:2" from=".3pt,2.75pt" to="7.1pt,2.75pt"/>
        </w:pict>
      </w:r>
      <w:r>
        <w:rPr>
          <w:noProof/>
          <w:lang w:val="uk-UA"/>
        </w:rPr>
        <w:pict>
          <v:line id="_x0000_s1138" style="position:absolute;left:0;text-align:left;z-index:3" from="200.45pt,2.7pt" to="207.25pt,2.7pt"/>
        </w:pict>
      </w:r>
      <w:r>
        <w:rPr>
          <w:noProof/>
          <w:lang w:val="uk-UA"/>
        </w:rPr>
        <w:pict>
          <v:line id="_x0000_s1136" style="position:absolute;left:0;text-align:left;z-index:1" from=".3pt,2.85pt" to=".3pt,9.65pt"/>
        </w:pict>
      </w:r>
    </w:p>
    <w:p w:rsidR="00B26FA3" w:rsidRPr="0097612D" w:rsidRDefault="00B26FA3" w:rsidP="00B26FA3">
      <w:pPr>
        <w:rPr>
          <w:b/>
          <w:i/>
          <w:sz w:val="28"/>
          <w:szCs w:val="28"/>
          <w:lang w:val="uk-UA"/>
        </w:rPr>
      </w:pPr>
      <w:r w:rsidRPr="0097612D">
        <w:rPr>
          <w:b/>
          <w:i/>
          <w:sz w:val="28"/>
          <w:szCs w:val="28"/>
          <w:lang w:val="uk-UA"/>
        </w:rPr>
        <w:t xml:space="preserve">Про погодження звіту про хід </w:t>
      </w:r>
    </w:p>
    <w:p w:rsidR="00B26FA3" w:rsidRPr="0097612D" w:rsidRDefault="00B26FA3" w:rsidP="00B26FA3">
      <w:pPr>
        <w:rPr>
          <w:b/>
          <w:i/>
          <w:sz w:val="28"/>
          <w:szCs w:val="28"/>
          <w:lang w:val="uk-UA"/>
        </w:rPr>
      </w:pPr>
      <w:r w:rsidRPr="0097612D">
        <w:rPr>
          <w:b/>
          <w:i/>
          <w:sz w:val="28"/>
          <w:szCs w:val="28"/>
          <w:lang w:val="uk-UA"/>
        </w:rPr>
        <w:t xml:space="preserve">виконання міської програми </w:t>
      </w:r>
    </w:p>
    <w:p w:rsidR="00B26FA3" w:rsidRPr="0097612D" w:rsidRDefault="00B26FA3" w:rsidP="00B26FA3">
      <w:pPr>
        <w:rPr>
          <w:b/>
          <w:i/>
          <w:sz w:val="28"/>
          <w:szCs w:val="28"/>
          <w:lang w:val="uk-UA"/>
        </w:rPr>
      </w:pPr>
      <w:r w:rsidRPr="0097612D">
        <w:rPr>
          <w:b/>
          <w:i/>
          <w:sz w:val="28"/>
          <w:szCs w:val="28"/>
          <w:lang w:val="uk-UA"/>
        </w:rPr>
        <w:t xml:space="preserve">«Комплексна програма розвитку </w:t>
      </w:r>
    </w:p>
    <w:p w:rsidR="0097612D" w:rsidRPr="0097612D" w:rsidRDefault="00B26FA3" w:rsidP="00B26FA3">
      <w:pPr>
        <w:rPr>
          <w:b/>
          <w:i/>
          <w:sz w:val="28"/>
          <w:szCs w:val="28"/>
          <w:lang w:val="uk-UA"/>
        </w:rPr>
      </w:pPr>
      <w:r w:rsidRPr="0097612D">
        <w:rPr>
          <w:b/>
          <w:i/>
          <w:sz w:val="28"/>
          <w:szCs w:val="28"/>
          <w:lang w:val="uk-UA"/>
        </w:rPr>
        <w:t xml:space="preserve">та фінансової підтримки </w:t>
      </w:r>
    </w:p>
    <w:p w:rsidR="00B26FA3" w:rsidRPr="0097612D" w:rsidRDefault="00B26FA3" w:rsidP="00B26FA3">
      <w:pPr>
        <w:rPr>
          <w:b/>
          <w:i/>
          <w:sz w:val="28"/>
          <w:szCs w:val="28"/>
          <w:lang w:val="uk-UA"/>
        </w:rPr>
      </w:pPr>
      <w:r w:rsidRPr="0097612D">
        <w:rPr>
          <w:b/>
          <w:i/>
          <w:sz w:val="28"/>
          <w:szCs w:val="28"/>
          <w:lang w:val="uk-UA"/>
        </w:rPr>
        <w:t xml:space="preserve">закладів охорони здоров'я </w:t>
      </w:r>
    </w:p>
    <w:p w:rsidR="00B26FA3" w:rsidRPr="0097612D" w:rsidRDefault="00B26FA3" w:rsidP="00B26FA3">
      <w:pPr>
        <w:rPr>
          <w:b/>
          <w:i/>
          <w:sz w:val="32"/>
          <w:szCs w:val="32"/>
          <w:lang w:val="uk-UA"/>
        </w:rPr>
      </w:pPr>
      <w:proofErr w:type="spellStart"/>
      <w:r w:rsidRPr="0097612D">
        <w:rPr>
          <w:b/>
          <w:i/>
          <w:sz w:val="28"/>
          <w:szCs w:val="28"/>
          <w:lang w:val="uk-UA"/>
        </w:rPr>
        <w:t>м.Синельникове</w:t>
      </w:r>
      <w:proofErr w:type="spellEnd"/>
      <w:r w:rsidRPr="0097612D">
        <w:rPr>
          <w:b/>
          <w:i/>
          <w:sz w:val="28"/>
          <w:szCs w:val="28"/>
          <w:lang w:val="uk-UA"/>
        </w:rPr>
        <w:t xml:space="preserve"> на 2020-2025 роки»</w:t>
      </w:r>
    </w:p>
    <w:p w:rsidR="00B26FA3" w:rsidRPr="0097612D" w:rsidRDefault="00B26FA3" w:rsidP="00B26FA3">
      <w:pPr>
        <w:rPr>
          <w:b/>
          <w:i/>
          <w:sz w:val="28"/>
          <w:szCs w:val="28"/>
          <w:lang w:val="uk-UA"/>
        </w:rPr>
      </w:pPr>
      <w:r w:rsidRPr="0097612D">
        <w:rPr>
          <w:b/>
          <w:i/>
          <w:sz w:val="28"/>
          <w:szCs w:val="28"/>
          <w:lang w:val="uk-UA"/>
        </w:rPr>
        <w:t>зі змінами</w:t>
      </w:r>
      <w:r w:rsidR="00161A4F" w:rsidRPr="0097612D">
        <w:rPr>
          <w:b/>
          <w:i/>
          <w:sz w:val="28"/>
          <w:szCs w:val="28"/>
          <w:lang w:val="uk-UA"/>
        </w:rPr>
        <w:t xml:space="preserve"> </w:t>
      </w:r>
      <w:r w:rsidRPr="0097612D">
        <w:rPr>
          <w:b/>
          <w:i/>
          <w:sz w:val="28"/>
          <w:szCs w:val="28"/>
          <w:lang w:val="uk-UA"/>
        </w:rPr>
        <w:t>за 2022 рік</w:t>
      </w:r>
    </w:p>
    <w:p w:rsidR="00B26FA3" w:rsidRPr="0097612D" w:rsidRDefault="00B26FA3" w:rsidP="00B26FA3">
      <w:pPr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  <w:t xml:space="preserve"> </w:t>
      </w:r>
    </w:p>
    <w:p w:rsidR="00B26FA3" w:rsidRPr="0097612D" w:rsidRDefault="00B26FA3" w:rsidP="009761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612D">
        <w:rPr>
          <w:rFonts w:ascii="Times New Roman" w:hAnsi="Times New Roman"/>
          <w:sz w:val="28"/>
          <w:szCs w:val="28"/>
        </w:rPr>
        <w:t>Керуючись підпунктом 1 пункту а статті 27, статтею 34, пунктом 2 статті 52 Закону України «Про місцеве самоврядування в Україні», рішенням міської ради від 08.</w:t>
      </w:r>
      <w:r w:rsidR="0097612D">
        <w:rPr>
          <w:rFonts w:ascii="Times New Roman" w:hAnsi="Times New Roman"/>
          <w:sz w:val="28"/>
          <w:szCs w:val="28"/>
        </w:rPr>
        <w:t>11.2019 № </w:t>
      </w:r>
      <w:r w:rsidRPr="0097612D">
        <w:rPr>
          <w:rFonts w:ascii="Times New Roman" w:hAnsi="Times New Roman"/>
          <w:sz w:val="28"/>
          <w:szCs w:val="28"/>
        </w:rPr>
        <w:t>842-45/VII «Про затвердження міської програми «Здоров'я населення м.</w:t>
      </w:r>
      <w:r w:rsidR="0097612D">
        <w:rPr>
          <w:rFonts w:ascii="Times New Roman" w:hAnsi="Times New Roman"/>
          <w:sz w:val="28"/>
          <w:szCs w:val="28"/>
        </w:rPr>
        <w:t> </w:t>
      </w:r>
      <w:r w:rsidRPr="0097612D">
        <w:rPr>
          <w:rFonts w:ascii="Times New Roman" w:hAnsi="Times New Roman"/>
          <w:sz w:val="28"/>
          <w:szCs w:val="28"/>
        </w:rPr>
        <w:t>Синельникового на 2020-2024 роки»»</w:t>
      </w:r>
      <w:r w:rsidRPr="0097612D">
        <w:rPr>
          <w:sz w:val="28"/>
          <w:szCs w:val="28"/>
        </w:rPr>
        <w:t xml:space="preserve"> </w:t>
      </w:r>
      <w:r w:rsidRPr="0097612D">
        <w:rPr>
          <w:rFonts w:ascii="Times New Roman" w:hAnsi="Times New Roman"/>
          <w:sz w:val="28"/>
          <w:szCs w:val="28"/>
        </w:rPr>
        <w:t>(зі змінами)</w:t>
      </w:r>
      <w:r w:rsidR="0097612D">
        <w:rPr>
          <w:rFonts w:ascii="Times New Roman" w:hAnsi="Times New Roman"/>
          <w:sz w:val="28"/>
          <w:szCs w:val="28"/>
        </w:rPr>
        <w:t>,</w:t>
      </w:r>
      <w:r w:rsidRPr="0097612D">
        <w:rPr>
          <w:rFonts w:ascii="Times New Roman" w:hAnsi="Times New Roman"/>
          <w:sz w:val="28"/>
          <w:szCs w:val="28"/>
        </w:rPr>
        <w:t xml:space="preserve"> виконавчий комітет Синельниківської міської ради ВИРІШИВ: </w:t>
      </w:r>
    </w:p>
    <w:p w:rsidR="00B26FA3" w:rsidRPr="0097612D" w:rsidRDefault="00B26FA3" w:rsidP="009761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FA3" w:rsidRPr="0097612D" w:rsidRDefault="00B26FA3" w:rsidP="0097612D">
      <w:pPr>
        <w:ind w:firstLine="567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1. Погодити звіт про хід виконання міської програми «Комплексна програма розвитку та фінансової підтримки закладів охорони здоров'я м.</w:t>
      </w:r>
      <w:r w:rsidR="0097612D">
        <w:rPr>
          <w:sz w:val="28"/>
          <w:szCs w:val="28"/>
          <w:lang w:val="uk-UA"/>
        </w:rPr>
        <w:t> </w:t>
      </w:r>
      <w:r w:rsidRPr="0097612D">
        <w:rPr>
          <w:sz w:val="28"/>
          <w:szCs w:val="28"/>
          <w:lang w:val="uk-UA"/>
        </w:rPr>
        <w:t>Синельникове на 2020-2025 роки»</w:t>
      </w:r>
      <w:r w:rsidRPr="0097612D">
        <w:rPr>
          <w:sz w:val="32"/>
          <w:szCs w:val="32"/>
          <w:lang w:val="uk-UA"/>
        </w:rPr>
        <w:t xml:space="preserve"> </w:t>
      </w:r>
      <w:r w:rsidRPr="0097612D">
        <w:rPr>
          <w:sz w:val="28"/>
          <w:szCs w:val="28"/>
          <w:lang w:val="uk-UA"/>
        </w:rPr>
        <w:t>за 2022 рік згідно з додатком.</w:t>
      </w:r>
    </w:p>
    <w:p w:rsidR="00B26FA3" w:rsidRPr="0097612D" w:rsidRDefault="00B26FA3" w:rsidP="009761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612D">
        <w:rPr>
          <w:rFonts w:ascii="Times New Roman" w:hAnsi="Times New Roman"/>
          <w:sz w:val="28"/>
          <w:szCs w:val="28"/>
        </w:rPr>
        <w:t xml:space="preserve">2. Доручити начальникові відділу охорони здоров'я міської ради         </w:t>
      </w:r>
      <w:proofErr w:type="spellStart"/>
      <w:r w:rsidRPr="0097612D">
        <w:rPr>
          <w:rFonts w:ascii="Times New Roman" w:hAnsi="Times New Roman"/>
          <w:sz w:val="28"/>
          <w:szCs w:val="28"/>
        </w:rPr>
        <w:t>Реутовій</w:t>
      </w:r>
      <w:proofErr w:type="spellEnd"/>
      <w:r w:rsidRPr="0097612D">
        <w:rPr>
          <w:rFonts w:ascii="Times New Roman" w:hAnsi="Times New Roman"/>
          <w:sz w:val="28"/>
          <w:szCs w:val="28"/>
        </w:rPr>
        <w:t xml:space="preserve"> Л.О.:</w:t>
      </w:r>
    </w:p>
    <w:p w:rsidR="00B26FA3" w:rsidRPr="0097612D" w:rsidRDefault="00B26FA3" w:rsidP="0097612D">
      <w:pPr>
        <w:ind w:firstLine="567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2.1. Підготувати </w:t>
      </w:r>
      <w:proofErr w:type="spellStart"/>
      <w:r w:rsidRPr="0097612D">
        <w:rPr>
          <w:sz w:val="28"/>
          <w:szCs w:val="28"/>
          <w:lang w:val="uk-UA"/>
        </w:rPr>
        <w:t>проєкт</w:t>
      </w:r>
      <w:proofErr w:type="spellEnd"/>
      <w:r w:rsidRPr="0097612D">
        <w:rPr>
          <w:sz w:val="28"/>
          <w:szCs w:val="28"/>
          <w:lang w:val="uk-UA"/>
        </w:rPr>
        <w:t xml:space="preserve"> рішення міської ради «Про </w:t>
      </w:r>
      <w:r w:rsidR="00161A4F" w:rsidRPr="0097612D">
        <w:rPr>
          <w:sz w:val="28"/>
          <w:szCs w:val="28"/>
          <w:lang w:val="uk-UA"/>
        </w:rPr>
        <w:t xml:space="preserve">затвердження звіту про </w:t>
      </w:r>
      <w:r w:rsidRPr="0097612D">
        <w:rPr>
          <w:sz w:val="28"/>
          <w:szCs w:val="28"/>
          <w:lang w:val="uk-UA"/>
        </w:rPr>
        <w:t>хід виконання міської програми «Комплексна програма розвитку та фінансової підтримки закладів охорони здоров'я м.</w:t>
      </w:r>
      <w:r w:rsidR="0097612D">
        <w:rPr>
          <w:sz w:val="28"/>
          <w:szCs w:val="28"/>
          <w:lang w:val="uk-UA"/>
        </w:rPr>
        <w:t> </w:t>
      </w:r>
      <w:r w:rsidRPr="0097612D">
        <w:rPr>
          <w:sz w:val="28"/>
          <w:szCs w:val="28"/>
          <w:lang w:val="uk-UA"/>
        </w:rPr>
        <w:t>Синельникове на 2020-2025 роки»</w:t>
      </w:r>
      <w:r w:rsidRPr="0097612D">
        <w:rPr>
          <w:sz w:val="32"/>
          <w:szCs w:val="32"/>
          <w:lang w:val="uk-UA"/>
        </w:rPr>
        <w:t xml:space="preserve"> </w:t>
      </w:r>
      <w:r w:rsidRPr="0097612D">
        <w:rPr>
          <w:sz w:val="28"/>
          <w:szCs w:val="28"/>
          <w:lang w:val="uk-UA"/>
        </w:rPr>
        <w:t>за 2022 рік.</w:t>
      </w:r>
    </w:p>
    <w:p w:rsidR="00B26FA3" w:rsidRPr="0097612D" w:rsidRDefault="00B26FA3" w:rsidP="009761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612D">
        <w:rPr>
          <w:rFonts w:ascii="Times New Roman" w:hAnsi="Times New Roman"/>
          <w:sz w:val="28"/>
          <w:szCs w:val="28"/>
        </w:rPr>
        <w:t>2.2. Доповісти на сесії міської ради про хід виконання міської програми «Комплексна програма розвитку та фінансової підтримки закладів охорони здоров'я м.</w:t>
      </w:r>
      <w:r w:rsidR="0097612D">
        <w:rPr>
          <w:rFonts w:ascii="Times New Roman" w:hAnsi="Times New Roman"/>
          <w:sz w:val="28"/>
          <w:szCs w:val="28"/>
        </w:rPr>
        <w:t> </w:t>
      </w:r>
      <w:r w:rsidRPr="0097612D">
        <w:rPr>
          <w:rFonts w:ascii="Times New Roman" w:hAnsi="Times New Roman"/>
          <w:sz w:val="28"/>
          <w:szCs w:val="28"/>
        </w:rPr>
        <w:t>Синельникове на 2020-2025 роки»</w:t>
      </w:r>
      <w:r w:rsidRPr="0097612D">
        <w:rPr>
          <w:rFonts w:ascii="Times New Roman" w:hAnsi="Times New Roman"/>
          <w:sz w:val="32"/>
          <w:szCs w:val="32"/>
        </w:rPr>
        <w:t xml:space="preserve"> </w:t>
      </w:r>
      <w:r w:rsidRPr="0097612D">
        <w:rPr>
          <w:rFonts w:ascii="Times New Roman" w:hAnsi="Times New Roman"/>
          <w:sz w:val="28"/>
          <w:szCs w:val="28"/>
        </w:rPr>
        <w:t>за 2022 рік.</w:t>
      </w:r>
    </w:p>
    <w:p w:rsidR="009F10E7" w:rsidRPr="0097612D" w:rsidRDefault="00B26FA3" w:rsidP="009761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7612D">
        <w:rPr>
          <w:rFonts w:ascii="Times New Roman" w:hAnsi="Times New Roman"/>
          <w:sz w:val="28"/>
          <w:szCs w:val="28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</w:t>
      </w:r>
      <w:proofErr w:type="spellStart"/>
      <w:r w:rsidRPr="0097612D">
        <w:rPr>
          <w:rFonts w:ascii="Times New Roman" w:hAnsi="Times New Roman"/>
          <w:sz w:val="28"/>
          <w:szCs w:val="28"/>
        </w:rPr>
        <w:t>Яковіна</w:t>
      </w:r>
      <w:proofErr w:type="spellEnd"/>
      <w:r w:rsidRPr="0097612D">
        <w:rPr>
          <w:rFonts w:ascii="Times New Roman" w:hAnsi="Times New Roman"/>
          <w:sz w:val="28"/>
          <w:szCs w:val="28"/>
        </w:rPr>
        <w:t xml:space="preserve"> В.Б.</w:t>
      </w:r>
    </w:p>
    <w:p w:rsidR="009F10E7" w:rsidRDefault="009F10E7" w:rsidP="00CA6519">
      <w:pPr>
        <w:ind w:left="360" w:hanging="360"/>
        <w:jc w:val="both"/>
        <w:rPr>
          <w:sz w:val="28"/>
          <w:szCs w:val="28"/>
          <w:lang w:val="uk-UA"/>
        </w:rPr>
      </w:pPr>
    </w:p>
    <w:p w:rsidR="0097612D" w:rsidRPr="0097612D" w:rsidRDefault="0097612D" w:rsidP="00CA6519">
      <w:pPr>
        <w:ind w:left="360" w:hanging="360"/>
        <w:jc w:val="both"/>
        <w:rPr>
          <w:sz w:val="28"/>
          <w:szCs w:val="28"/>
          <w:lang w:val="uk-UA"/>
        </w:rPr>
      </w:pPr>
    </w:p>
    <w:p w:rsidR="009F10E7" w:rsidRDefault="009F10E7" w:rsidP="00CA6519">
      <w:pPr>
        <w:ind w:left="360" w:hanging="360"/>
        <w:jc w:val="both"/>
        <w:rPr>
          <w:sz w:val="28"/>
          <w:szCs w:val="28"/>
          <w:lang w:val="uk-UA"/>
        </w:rPr>
      </w:pPr>
    </w:p>
    <w:p w:rsidR="00BD2F03" w:rsidRPr="0097612D" w:rsidRDefault="00BD2F03" w:rsidP="00CA6519">
      <w:pPr>
        <w:ind w:left="360" w:hanging="360"/>
        <w:jc w:val="both"/>
        <w:rPr>
          <w:sz w:val="28"/>
          <w:szCs w:val="28"/>
          <w:lang w:val="uk-UA"/>
        </w:rPr>
      </w:pPr>
    </w:p>
    <w:p w:rsidR="0082704B" w:rsidRPr="0097612D" w:rsidRDefault="003A10B3" w:rsidP="00B26FA3">
      <w:pPr>
        <w:ind w:left="360" w:hanging="360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Міський голова</w:t>
      </w: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  <w:t xml:space="preserve">   Дмитро </w:t>
      </w:r>
      <w:r w:rsidR="00494003" w:rsidRPr="0097612D">
        <w:rPr>
          <w:sz w:val="28"/>
          <w:szCs w:val="28"/>
          <w:lang w:val="uk-UA"/>
        </w:rPr>
        <w:t>ЗРАЖЕВСЬКИЙ</w:t>
      </w:r>
    </w:p>
    <w:p w:rsidR="0097612D" w:rsidRDefault="0097612D" w:rsidP="00B26FA3">
      <w:pPr>
        <w:ind w:left="360" w:hanging="360"/>
        <w:jc w:val="both"/>
        <w:rPr>
          <w:sz w:val="28"/>
          <w:szCs w:val="28"/>
          <w:lang w:val="uk-UA"/>
        </w:rPr>
      </w:pPr>
    </w:p>
    <w:p w:rsidR="00BD2F03" w:rsidRDefault="00BD2F03" w:rsidP="00B26FA3">
      <w:pPr>
        <w:ind w:left="360" w:hanging="360"/>
        <w:jc w:val="both"/>
        <w:rPr>
          <w:sz w:val="28"/>
          <w:szCs w:val="28"/>
          <w:lang w:val="uk-UA"/>
        </w:rPr>
      </w:pPr>
    </w:p>
    <w:p w:rsidR="00BD2F03" w:rsidRDefault="00BD2F03" w:rsidP="00B26FA3">
      <w:pPr>
        <w:ind w:left="360" w:hanging="360"/>
        <w:jc w:val="both"/>
        <w:rPr>
          <w:sz w:val="28"/>
          <w:szCs w:val="28"/>
          <w:lang w:val="uk-UA"/>
        </w:rPr>
      </w:pPr>
    </w:p>
    <w:p w:rsidR="00BD2F03" w:rsidRDefault="00BD2F03" w:rsidP="00B26FA3">
      <w:pPr>
        <w:ind w:left="360" w:hanging="360"/>
        <w:jc w:val="both"/>
        <w:rPr>
          <w:sz w:val="28"/>
          <w:szCs w:val="28"/>
          <w:lang w:val="uk-UA"/>
        </w:rPr>
      </w:pPr>
    </w:p>
    <w:p w:rsidR="00BD2F03" w:rsidRDefault="00BD2F03" w:rsidP="00B26FA3">
      <w:pPr>
        <w:ind w:left="360" w:hanging="360"/>
        <w:jc w:val="both"/>
        <w:rPr>
          <w:sz w:val="28"/>
          <w:szCs w:val="28"/>
          <w:lang w:val="uk-UA"/>
        </w:rPr>
      </w:pPr>
    </w:p>
    <w:p w:rsidR="00BD2F03" w:rsidRPr="0097612D" w:rsidRDefault="00BD2F03" w:rsidP="00B26FA3">
      <w:pPr>
        <w:ind w:left="360" w:hanging="360"/>
        <w:jc w:val="both"/>
        <w:rPr>
          <w:sz w:val="28"/>
          <w:szCs w:val="28"/>
          <w:lang w:val="uk-UA"/>
        </w:rPr>
      </w:pPr>
    </w:p>
    <w:p w:rsidR="0097612D" w:rsidRDefault="0097612D" w:rsidP="0097612D">
      <w:pPr>
        <w:ind w:firstLine="5529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</w:p>
    <w:p w:rsidR="0097612D" w:rsidRDefault="0097612D" w:rsidP="0097612D">
      <w:pPr>
        <w:ind w:firstLine="5529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до рішення виконавчого</w:t>
      </w:r>
    </w:p>
    <w:p w:rsidR="0097612D" w:rsidRDefault="0097612D" w:rsidP="0097612D">
      <w:pPr>
        <w:ind w:firstLine="5529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комітету міської ради</w:t>
      </w:r>
    </w:p>
    <w:p w:rsidR="00F63B7C" w:rsidRPr="0097612D" w:rsidRDefault="00F63B7C" w:rsidP="0097612D">
      <w:pPr>
        <w:ind w:firstLine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16.02.2023 №52/0/8-23</w:t>
      </w:r>
    </w:p>
    <w:p w:rsidR="0097612D" w:rsidRPr="0097612D" w:rsidRDefault="0097612D" w:rsidP="0097612D">
      <w:pPr>
        <w:rPr>
          <w:b/>
          <w:sz w:val="28"/>
          <w:szCs w:val="28"/>
          <w:lang w:val="uk-UA"/>
        </w:rPr>
      </w:pPr>
    </w:p>
    <w:p w:rsidR="0097612D" w:rsidRPr="0097612D" w:rsidRDefault="0097612D" w:rsidP="0097612D">
      <w:pPr>
        <w:jc w:val="center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>Звіт</w:t>
      </w:r>
    </w:p>
    <w:p w:rsidR="0097612D" w:rsidRPr="0097612D" w:rsidRDefault="0097612D" w:rsidP="0097612D">
      <w:pPr>
        <w:jc w:val="center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>про хід виконання міської програми</w:t>
      </w:r>
    </w:p>
    <w:p w:rsidR="0097612D" w:rsidRPr="0097612D" w:rsidRDefault="0097612D" w:rsidP="0097612D">
      <w:pPr>
        <w:jc w:val="center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 xml:space="preserve">«Комплексна програма розвитку та фінансової підтримки закладів охорони здоров’я м. Синельникове на 2020-2025 роки» </w:t>
      </w:r>
    </w:p>
    <w:p w:rsidR="0097612D" w:rsidRPr="0097612D" w:rsidRDefault="0097612D" w:rsidP="0097612D">
      <w:pPr>
        <w:jc w:val="center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>за 2022 рік</w:t>
      </w:r>
    </w:p>
    <w:p w:rsidR="0097612D" w:rsidRPr="0097612D" w:rsidRDefault="0097612D" w:rsidP="0097612D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97612D" w:rsidRPr="0097612D" w:rsidRDefault="0097612D" w:rsidP="0097612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На виконання законів України «Про місцеве самоврядування в Україні»,</w:t>
      </w:r>
      <w:r w:rsidRPr="0097612D">
        <w:rPr>
          <w:bCs/>
          <w:color w:val="212529"/>
          <w:spacing w:val="4"/>
          <w:kern w:val="36"/>
          <w:sz w:val="28"/>
          <w:szCs w:val="28"/>
          <w:lang w:val="uk-UA"/>
        </w:rPr>
        <w:t xml:space="preserve"> «Основи законодавства України про охорону здоров’я»,</w:t>
      </w:r>
      <w:r w:rsidRPr="0097612D">
        <w:rPr>
          <w:sz w:val="28"/>
          <w:szCs w:val="28"/>
          <w:lang w:val="uk-UA" w:eastAsia="ko-KR"/>
        </w:rPr>
        <w:t xml:space="preserve"> «Про державні фінансові гарантії медичного обслуговування населення», постанови Кабінету Міністрів України від 17 серпня 1998 року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протягом 2022 року були вжиті відповідні заходи, які передбачені міською програмою</w:t>
      </w:r>
      <w:r w:rsidRPr="0097612D">
        <w:rPr>
          <w:sz w:val="28"/>
          <w:szCs w:val="28"/>
          <w:lang w:val="uk-UA"/>
        </w:rPr>
        <w:t xml:space="preserve"> «Комплексна програма розвитку та фінансової підтримки закладів охорони здоров’я міста Синельникове на </w:t>
      </w:r>
      <w:r>
        <w:rPr>
          <w:sz w:val="28"/>
          <w:szCs w:val="28"/>
          <w:lang w:val="uk-UA"/>
        </w:rPr>
        <w:t xml:space="preserve">                  </w:t>
      </w:r>
      <w:r w:rsidRPr="0097612D">
        <w:rPr>
          <w:sz w:val="28"/>
          <w:szCs w:val="28"/>
          <w:lang w:val="uk-UA"/>
        </w:rPr>
        <w:t>2020-2025 роки».</w:t>
      </w:r>
    </w:p>
    <w:p w:rsidR="0097612D" w:rsidRPr="0097612D" w:rsidRDefault="0097612D" w:rsidP="0097612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97612D">
        <w:rPr>
          <w:bCs/>
          <w:color w:val="212529"/>
          <w:spacing w:val="4"/>
          <w:kern w:val="36"/>
          <w:sz w:val="28"/>
          <w:szCs w:val="28"/>
          <w:lang w:val="uk-UA"/>
        </w:rPr>
        <w:t>Забезпечення</w:t>
      </w:r>
      <w:r w:rsidRPr="0097612D">
        <w:rPr>
          <w:sz w:val="28"/>
          <w:szCs w:val="28"/>
          <w:lang w:val="uk-UA"/>
        </w:rPr>
        <w:t xml:space="preserve"> реалізації державної політики в галузі охорони здоров’я на території міста Синельникове, поліпшення демографічної ситуації, збереження і зміцнення здоров’я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захворювань, найбільш значущих у соціально-економічному та медико-демографічному плані класів і нозологічних форм </w:t>
      </w:r>
      <w:proofErr w:type="spellStart"/>
      <w:r w:rsidRPr="0097612D">
        <w:rPr>
          <w:sz w:val="28"/>
          <w:szCs w:val="28"/>
          <w:lang w:val="uk-UA"/>
        </w:rPr>
        <w:t>хвороб</w:t>
      </w:r>
      <w:proofErr w:type="spellEnd"/>
      <w:r w:rsidRPr="0097612D">
        <w:rPr>
          <w:sz w:val="28"/>
          <w:szCs w:val="28"/>
          <w:lang w:val="uk-UA"/>
        </w:rPr>
        <w:t>, покращення матеріально-технічної бази, оплата за спожиті енергоносії, реформування в галузі охорони здоров’я - основна мета міської  програми.</w:t>
      </w:r>
    </w:p>
    <w:p w:rsidR="0097612D" w:rsidRPr="0097612D" w:rsidRDefault="0097612D" w:rsidP="0097612D">
      <w:pPr>
        <w:pStyle w:val="Default"/>
        <w:ind w:firstLine="567"/>
        <w:jc w:val="both"/>
        <w:rPr>
          <w:spacing w:val="-2"/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Забезпечення належного рівня надання медичної допомоги, рівного та справедливого доступу до медичних послуг населенню, підвищення якості медичної допомоги потребує великих матеріальних затрат.</w:t>
      </w:r>
      <w:r w:rsidRPr="0097612D">
        <w:rPr>
          <w:spacing w:val="-5"/>
          <w:lang w:val="uk-UA"/>
        </w:rPr>
        <w:t xml:space="preserve"> </w:t>
      </w:r>
      <w:r w:rsidRPr="0097612D">
        <w:rPr>
          <w:spacing w:val="-5"/>
          <w:sz w:val="28"/>
          <w:szCs w:val="28"/>
          <w:lang w:val="uk-UA"/>
        </w:rPr>
        <w:t xml:space="preserve">При цьому ефективно спрацьовувала формула поєднання коштів </w:t>
      </w:r>
      <w:r w:rsidRPr="0097612D">
        <w:rPr>
          <w:spacing w:val="-2"/>
          <w:sz w:val="28"/>
          <w:szCs w:val="28"/>
          <w:lang w:val="uk-UA"/>
        </w:rPr>
        <w:t xml:space="preserve">держави, міської ради, об’єднаних територіальних громад </w:t>
      </w:r>
      <w:proofErr w:type="spellStart"/>
      <w:r w:rsidRPr="0097612D">
        <w:rPr>
          <w:spacing w:val="-2"/>
          <w:sz w:val="28"/>
          <w:szCs w:val="28"/>
          <w:lang w:val="uk-UA"/>
        </w:rPr>
        <w:t>Синельниківського</w:t>
      </w:r>
      <w:proofErr w:type="spellEnd"/>
      <w:r w:rsidRPr="0097612D">
        <w:rPr>
          <w:spacing w:val="-2"/>
          <w:sz w:val="28"/>
          <w:szCs w:val="28"/>
          <w:lang w:val="uk-UA"/>
        </w:rPr>
        <w:t xml:space="preserve"> району.</w:t>
      </w:r>
    </w:p>
    <w:p w:rsidR="0097612D" w:rsidRPr="0097612D" w:rsidRDefault="0097612D" w:rsidP="0097612D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97612D" w:rsidRPr="0097612D" w:rsidRDefault="0097612D" w:rsidP="0097612D">
      <w:pPr>
        <w:ind w:firstLine="567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Основними шляхами щодо розв’язання проблем у поліпшенні стану здоров’я населення міста, зниження рівнів захворювання, інвалідності, смертності необхідно визначити:</w:t>
      </w:r>
    </w:p>
    <w:p w:rsidR="0097612D" w:rsidRPr="0097612D" w:rsidRDefault="0097612D" w:rsidP="0097612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проведення активної демографічної політики; </w:t>
      </w:r>
    </w:p>
    <w:p w:rsidR="0097612D" w:rsidRPr="0097612D" w:rsidRDefault="0097612D" w:rsidP="0097612D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впровадження сучасних методів лікування у практику охорони здоров’я;</w:t>
      </w:r>
    </w:p>
    <w:p w:rsidR="0097612D" w:rsidRPr="0097612D" w:rsidRDefault="0097612D" w:rsidP="0097612D">
      <w:pPr>
        <w:tabs>
          <w:tab w:val="left" w:pos="0"/>
          <w:tab w:val="left" w:pos="709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забезпечення найбільш соціально уразливих верств населення з важкими захворюваннями медикаментами та витратними матеріалами для поліпшення якості життя.</w:t>
      </w:r>
    </w:p>
    <w:p w:rsidR="0097612D" w:rsidRPr="0097612D" w:rsidRDefault="0097612D" w:rsidP="0097612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97612D" w:rsidRPr="0097612D" w:rsidRDefault="0097612D" w:rsidP="0097612D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lastRenderedPageBreak/>
        <w:tab/>
        <w:t>У рамках виконання Програми за 2022 рік було здійснено цілий ряд заходів.</w:t>
      </w:r>
    </w:p>
    <w:p w:rsidR="0097612D" w:rsidRPr="0097612D" w:rsidRDefault="0097612D" w:rsidP="0097612D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97612D" w:rsidRPr="0097612D" w:rsidRDefault="0097612D" w:rsidP="0097612D">
      <w:pPr>
        <w:tabs>
          <w:tab w:val="left" w:pos="709"/>
        </w:tabs>
        <w:ind w:firstLine="567"/>
        <w:jc w:val="center"/>
        <w:rPr>
          <w:i/>
          <w:sz w:val="28"/>
          <w:szCs w:val="28"/>
          <w:u w:val="single"/>
          <w:lang w:val="uk-UA"/>
        </w:rPr>
      </w:pPr>
      <w:r w:rsidRPr="0097612D">
        <w:rPr>
          <w:i/>
          <w:sz w:val="28"/>
          <w:szCs w:val="28"/>
          <w:u w:val="single"/>
          <w:lang w:val="uk-UA"/>
        </w:rPr>
        <w:t>Комунальне некомерційне підприємство «</w:t>
      </w:r>
      <w:proofErr w:type="spellStart"/>
      <w:r w:rsidRPr="0097612D">
        <w:rPr>
          <w:i/>
          <w:sz w:val="28"/>
          <w:szCs w:val="28"/>
          <w:u w:val="single"/>
          <w:lang w:val="uk-UA"/>
        </w:rPr>
        <w:t>Синельниківський</w:t>
      </w:r>
      <w:proofErr w:type="spellEnd"/>
      <w:r w:rsidRPr="0097612D">
        <w:rPr>
          <w:i/>
          <w:sz w:val="28"/>
          <w:szCs w:val="28"/>
          <w:u w:val="single"/>
          <w:lang w:val="uk-UA"/>
        </w:rPr>
        <w:t xml:space="preserve"> центр первинної медико-санітарної допомоги Синельниківської міської ради»</w:t>
      </w:r>
    </w:p>
    <w:p w:rsidR="0097612D" w:rsidRPr="0097612D" w:rsidRDefault="0097612D" w:rsidP="0097612D">
      <w:pPr>
        <w:tabs>
          <w:tab w:val="left" w:pos="709"/>
        </w:tabs>
        <w:ind w:firstLine="567"/>
        <w:jc w:val="center"/>
        <w:rPr>
          <w:i/>
          <w:sz w:val="28"/>
          <w:szCs w:val="28"/>
          <w:u w:val="single"/>
          <w:lang w:val="uk-UA"/>
        </w:rPr>
      </w:pP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>П.1.1. Забезпечення дітей з інвалідністю медикаментами та лікувальним харчуванням.</w:t>
      </w:r>
    </w:p>
    <w:p w:rsidR="0097612D" w:rsidRPr="0097612D" w:rsidRDefault="0097612D" w:rsidP="0097612D">
      <w:pPr>
        <w:pStyle w:val="1"/>
        <w:tabs>
          <w:tab w:val="left" w:pos="709"/>
          <w:tab w:val="left" w:pos="609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12D">
        <w:rPr>
          <w:rFonts w:ascii="Times New Roman" w:hAnsi="Times New Roman"/>
          <w:sz w:val="28"/>
          <w:szCs w:val="28"/>
        </w:rPr>
        <w:tab/>
        <w:t xml:space="preserve">Станом на </w:t>
      </w:r>
      <w:r w:rsidRPr="0097612D">
        <w:rPr>
          <w:rFonts w:ascii="Times New Roman" w:hAnsi="Times New Roman"/>
          <w:sz w:val="28"/>
          <w:szCs w:val="28"/>
          <w:shd w:val="clear" w:color="auto" w:fill="FFFFFF"/>
        </w:rPr>
        <w:t xml:space="preserve">01.01.2023 </w:t>
      </w:r>
      <w:r w:rsidRPr="0097612D">
        <w:rPr>
          <w:rFonts w:ascii="Times New Roman" w:hAnsi="Times New Roman"/>
          <w:sz w:val="28"/>
          <w:szCs w:val="28"/>
        </w:rPr>
        <w:t>кількість дітей з інвалідністю складає 109 осіб,</w:t>
      </w:r>
      <w:r w:rsidRPr="0097612D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97612D">
        <w:rPr>
          <w:rFonts w:ascii="Times New Roman" w:eastAsia="Calibri" w:hAnsi="Times New Roman"/>
          <w:sz w:val="28"/>
          <w:szCs w:val="28"/>
        </w:rPr>
        <w:t>т.ч</w:t>
      </w:r>
      <w:proofErr w:type="spellEnd"/>
      <w:r w:rsidRPr="0097612D">
        <w:rPr>
          <w:rFonts w:ascii="Times New Roman" w:eastAsia="Calibri" w:hAnsi="Times New Roman"/>
          <w:sz w:val="28"/>
          <w:szCs w:val="28"/>
        </w:rPr>
        <w:t>. 11 дітей вперше отримали статус «дитина з інвалідністю». У</w:t>
      </w:r>
      <w:r w:rsidRPr="0097612D">
        <w:rPr>
          <w:rFonts w:ascii="Times New Roman" w:hAnsi="Times New Roman"/>
          <w:sz w:val="28"/>
          <w:szCs w:val="28"/>
        </w:rPr>
        <w:t xml:space="preserve"> структурі захворюваності перше місце посідають вроджені аномалії розвитку – 31 осіб (28,4%), друге місце – захворювання ЦНС – 21 осіб (19,3%), третє місце – розлади психіки та поведінки – 16 осіб (14,7%), четверте місце ендокринні захворювання – 12 осіб (11%), на п’ятому місці захворювання вуха та ока – 11 осіб (10,1%), на шостому місці захворювання опорно-рухового апарату – 10 осіб (9,2%), на сьомому місці </w:t>
      </w:r>
      <w:proofErr w:type="spellStart"/>
      <w:r w:rsidRPr="0097612D">
        <w:rPr>
          <w:rFonts w:ascii="Times New Roman" w:hAnsi="Times New Roman"/>
          <w:sz w:val="28"/>
          <w:szCs w:val="28"/>
        </w:rPr>
        <w:t>онкозахворювання</w:t>
      </w:r>
      <w:proofErr w:type="spellEnd"/>
      <w:r w:rsidRPr="0097612D">
        <w:rPr>
          <w:rFonts w:ascii="Times New Roman" w:hAnsi="Times New Roman"/>
          <w:sz w:val="28"/>
          <w:szCs w:val="28"/>
        </w:rPr>
        <w:t xml:space="preserve"> – 3 особи (2,8%), та на восьмому інші хвороби – 5 осіб (4,6%). </w:t>
      </w:r>
      <w:r w:rsidRPr="0097612D">
        <w:rPr>
          <w:rFonts w:ascii="Times New Roman" w:eastAsia="Calibri" w:hAnsi="Times New Roman"/>
          <w:sz w:val="28"/>
          <w:szCs w:val="28"/>
        </w:rPr>
        <w:t>Усім цим дітям складається індивідуальна програма реабілітації з послідуючим корегуванням обсягів та видів реабілітаційних заходів.</w:t>
      </w: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Так, 12 дітей з інвалідністю постійно потребують приймання </w:t>
      </w:r>
      <w:proofErr w:type="spellStart"/>
      <w:r w:rsidRPr="0097612D">
        <w:rPr>
          <w:sz w:val="28"/>
          <w:szCs w:val="28"/>
          <w:lang w:val="uk-UA"/>
        </w:rPr>
        <w:t>життєво</w:t>
      </w:r>
      <w:proofErr w:type="spellEnd"/>
      <w:r w:rsidRPr="0097612D">
        <w:rPr>
          <w:sz w:val="28"/>
          <w:szCs w:val="28"/>
          <w:lang w:val="uk-UA"/>
        </w:rPr>
        <w:t xml:space="preserve"> необхідних лікарських засобів, програмою передбачено </w:t>
      </w:r>
      <w:r w:rsidRPr="0097612D">
        <w:rPr>
          <w:b/>
          <w:sz w:val="28"/>
          <w:szCs w:val="28"/>
          <w:lang w:val="uk-UA"/>
        </w:rPr>
        <w:t xml:space="preserve">111,8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sz w:val="28"/>
          <w:szCs w:val="28"/>
          <w:lang w:val="uk-UA"/>
        </w:rPr>
        <w:t xml:space="preserve"> на придбання яких за 2022 рік використано </w:t>
      </w:r>
      <w:r w:rsidRPr="0097612D">
        <w:rPr>
          <w:b/>
          <w:sz w:val="28"/>
          <w:szCs w:val="28"/>
          <w:lang w:val="uk-UA"/>
        </w:rPr>
        <w:t xml:space="preserve">92,4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</w:t>
      </w:r>
      <w:r w:rsidRPr="0097612D">
        <w:rPr>
          <w:sz w:val="28"/>
          <w:szCs w:val="28"/>
          <w:lang w:val="uk-UA"/>
        </w:rPr>
        <w:t xml:space="preserve">, уточнений план – </w:t>
      </w:r>
      <w:r w:rsidRPr="0097612D">
        <w:rPr>
          <w:b/>
          <w:sz w:val="28"/>
          <w:szCs w:val="28"/>
          <w:lang w:val="uk-UA"/>
        </w:rPr>
        <w:t xml:space="preserve">92,5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</w:t>
      </w:r>
      <w:r w:rsidRPr="0097612D">
        <w:rPr>
          <w:sz w:val="28"/>
          <w:szCs w:val="28"/>
          <w:lang w:val="uk-UA"/>
        </w:rPr>
        <w:t xml:space="preserve">, виконання – </w:t>
      </w:r>
      <w:r w:rsidRPr="0097612D">
        <w:rPr>
          <w:b/>
          <w:sz w:val="28"/>
          <w:szCs w:val="28"/>
          <w:lang w:val="uk-UA"/>
        </w:rPr>
        <w:t>99,9%.</w:t>
      </w: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97612D" w:rsidRPr="0097612D" w:rsidRDefault="0097612D" w:rsidP="0097612D">
      <w:pPr>
        <w:ind w:firstLine="708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>П.1.2. Забезпечення молочними сумішами дітей народжених від                ВІЛ-інфікованих матерів.</w:t>
      </w:r>
    </w:p>
    <w:p w:rsidR="0097612D" w:rsidRPr="0097612D" w:rsidRDefault="0097612D" w:rsidP="0097612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7612D">
        <w:rPr>
          <w:sz w:val="28"/>
          <w:szCs w:val="28"/>
          <w:shd w:val="clear" w:color="auto" w:fill="FFFFFF"/>
          <w:lang w:val="uk-UA"/>
        </w:rPr>
        <w:t>З метою підвищення ефективності медичної допомоги дітям, народженим від ВІЛ-інфікованих матерів, та поліпшення якості їхнього життя комунальне некомерційне підприємство «</w:t>
      </w:r>
      <w:proofErr w:type="spellStart"/>
      <w:r w:rsidRPr="0097612D">
        <w:rPr>
          <w:sz w:val="28"/>
          <w:szCs w:val="28"/>
          <w:shd w:val="clear" w:color="auto" w:fill="FFFFFF"/>
          <w:lang w:val="uk-UA"/>
        </w:rPr>
        <w:t>Синельниківський</w:t>
      </w:r>
      <w:proofErr w:type="spellEnd"/>
      <w:r w:rsidRPr="0097612D">
        <w:rPr>
          <w:sz w:val="28"/>
          <w:szCs w:val="28"/>
          <w:shd w:val="clear" w:color="auto" w:fill="FFFFFF"/>
          <w:lang w:val="uk-UA"/>
        </w:rPr>
        <w:t xml:space="preserve"> центр первинної медико-санітарної допомоги Синельниківської міської ради» забезпечує їх молочними сумішами за рахунок коштів бюджету міської територіальної громади, програмою передбачено кошти  у сумі </w:t>
      </w:r>
      <w:r w:rsidRPr="0097612D">
        <w:rPr>
          <w:b/>
          <w:sz w:val="28"/>
          <w:szCs w:val="28"/>
          <w:shd w:val="clear" w:color="auto" w:fill="FFFFFF"/>
          <w:lang w:val="uk-UA"/>
        </w:rPr>
        <w:t xml:space="preserve">12,1 </w:t>
      </w:r>
      <w:proofErr w:type="spellStart"/>
      <w:r w:rsidRPr="0097612D">
        <w:rPr>
          <w:b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97612D">
        <w:rPr>
          <w:b/>
          <w:sz w:val="28"/>
          <w:szCs w:val="28"/>
          <w:shd w:val="clear" w:color="auto" w:fill="FFFFFF"/>
          <w:lang w:val="uk-UA"/>
        </w:rPr>
        <w:t>.</w:t>
      </w:r>
    </w:p>
    <w:p w:rsidR="0097612D" w:rsidRPr="0097612D" w:rsidRDefault="0097612D" w:rsidP="0097612D">
      <w:pPr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shd w:val="clear" w:color="auto" w:fill="FFFFFF"/>
          <w:lang w:val="uk-UA"/>
        </w:rPr>
        <w:t>Відповідно до</w:t>
      </w:r>
      <w:r w:rsidRPr="0097612D">
        <w:rPr>
          <w:sz w:val="28"/>
          <w:szCs w:val="28"/>
          <w:lang w:val="uk-UA"/>
        </w:rPr>
        <w:t xml:space="preserve"> інформації КНП «</w:t>
      </w:r>
      <w:proofErr w:type="spellStart"/>
      <w:r w:rsidRPr="0097612D">
        <w:rPr>
          <w:sz w:val="28"/>
          <w:szCs w:val="28"/>
          <w:lang w:val="uk-UA"/>
        </w:rPr>
        <w:t>Синельниківська</w:t>
      </w:r>
      <w:proofErr w:type="spellEnd"/>
      <w:r w:rsidRPr="0097612D">
        <w:rPr>
          <w:sz w:val="28"/>
          <w:szCs w:val="28"/>
          <w:lang w:val="uk-UA"/>
        </w:rPr>
        <w:t xml:space="preserve"> центральна міська лікарня» СМР» на обліку ВІЛ-інфіковані матері, які народять протягом 2022 року, не перебували. Кошти не виділялися.</w:t>
      </w:r>
    </w:p>
    <w:p w:rsidR="0097612D" w:rsidRPr="0097612D" w:rsidRDefault="0097612D" w:rsidP="0097612D">
      <w:pPr>
        <w:ind w:firstLine="708"/>
        <w:jc w:val="both"/>
        <w:rPr>
          <w:sz w:val="28"/>
          <w:szCs w:val="28"/>
          <w:lang w:val="uk-UA"/>
        </w:rPr>
      </w:pP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 xml:space="preserve">П.1.3. Забезпечення дітей хворих на </w:t>
      </w:r>
      <w:proofErr w:type="spellStart"/>
      <w:r w:rsidRPr="0097612D">
        <w:rPr>
          <w:b/>
          <w:sz w:val="28"/>
          <w:szCs w:val="28"/>
          <w:lang w:val="uk-UA"/>
        </w:rPr>
        <w:t>фенілкетонурію</w:t>
      </w:r>
      <w:proofErr w:type="spellEnd"/>
      <w:r w:rsidRPr="0097612D">
        <w:rPr>
          <w:b/>
          <w:sz w:val="28"/>
          <w:szCs w:val="28"/>
          <w:lang w:val="uk-UA"/>
        </w:rPr>
        <w:t xml:space="preserve"> лікувальними сумішами.</w:t>
      </w: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Двоє дітей з інвалідністю хворих на </w:t>
      </w:r>
      <w:proofErr w:type="spellStart"/>
      <w:r w:rsidRPr="0097612D">
        <w:rPr>
          <w:sz w:val="28"/>
          <w:szCs w:val="28"/>
          <w:lang w:val="uk-UA"/>
        </w:rPr>
        <w:t>фенілкетонурію</w:t>
      </w:r>
      <w:proofErr w:type="spellEnd"/>
      <w:r w:rsidRPr="0097612D">
        <w:rPr>
          <w:sz w:val="28"/>
          <w:szCs w:val="28"/>
          <w:lang w:val="uk-UA"/>
        </w:rPr>
        <w:t xml:space="preserve"> отримують лікувальне харчування згідно з висновком лікаря генетика, завдяки чому досягається 100% реабілітація цих дітей. Основною метою є повноцінна адаптація дітей до соціального життя, попередження важких порушень з боку центральної нервової системи та забезпечення нормального інтелектуального розвитку. За програмою на 2022 рік передбачено </w:t>
      </w:r>
      <w:r w:rsidRPr="0097612D">
        <w:rPr>
          <w:b/>
          <w:sz w:val="28"/>
          <w:szCs w:val="28"/>
          <w:lang w:val="uk-UA"/>
        </w:rPr>
        <w:t xml:space="preserve">227,7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sz w:val="28"/>
          <w:szCs w:val="28"/>
          <w:lang w:val="uk-UA"/>
        </w:rPr>
        <w:t xml:space="preserve"> план – </w:t>
      </w:r>
      <w:r w:rsidRPr="0097612D">
        <w:rPr>
          <w:b/>
          <w:sz w:val="28"/>
          <w:szCs w:val="28"/>
          <w:lang w:val="uk-UA"/>
        </w:rPr>
        <w:t xml:space="preserve">227,7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sz w:val="28"/>
          <w:szCs w:val="28"/>
          <w:lang w:val="uk-UA"/>
        </w:rPr>
        <w:t xml:space="preserve"> фактичне виконання – </w:t>
      </w:r>
      <w:r w:rsidRPr="0097612D">
        <w:rPr>
          <w:b/>
          <w:sz w:val="28"/>
          <w:szCs w:val="28"/>
          <w:lang w:val="uk-UA"/>
        </w:rPr>
        <w:t xml:space="preserve">226,5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sz w:val="28"/>
          <w:szCs w:val="28"/>
          <w:lang w:val="uk-UA"/>
        </w:rPr>
        <w:t xml:space="preserve"> виконання – </w:t>
      </w:r>
      <w:r w:rsidRPr="0097612D">
        <w:rPr>
          <w:b/>
          <w:sz w:val="28"/>
          <w:szCs w:val="28"/>
          <w:lang w:val="uk-UA"/>
        </w:rPr>
        <w:t xml:space="preserve">99,5%. </w:t>
      </w:r>
      <w:r w:rsidRPr="0097612D">
        <w:rPr>
          <w:sz w:val="28"/>
          <w:szCs w:val="28"/>
          <w:lang w:val="uk-UA"/>
        </w:rPr>
        <w:t>Економія склалась за рахунок проведення торгів,</w:t>
      </w:r>
      <w:r w:rsidRPr="0097612D">
        <w:rPr>
          <w:b/>
          <w:sz w:val="28"/>
          <w:szCs w:val="28"/>
          <w:lang w:val="uk-UA"/>
        </w:rPr>
        <w:t xml:space="preserve"> </w:t>
      </w:r>
      <w:r w:rsidRPr="0097612D">
        <w:rPr>
          <w:sz w:val="28"/>
          <w:szCs w:val="28"/>
          <w:lang w:val="uk-UA"/>
        </w:rPr>
        <w:t>суміші закуплено в повному обсязі.</w:t>
      </w: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97612D" w:rsidRPr="0097612D" w:rsidRDefault="0097612D" w:rsidP="0097612D">
      <w:pPr>
        <w:ind w:firstLine="708"/>
        <w:jc w:val="both"/>
        <w:rPr>
          <w:b/>
          <w:sz w:val="28"/>
          <w:szCs w:val="28"/>
          <w:lang w:val="uk-UA"/>
        </w:rPr>
      </w:pPr>
    </w:p>
    <w:p w:rsidR="0097612D" w:rsidRPr="0097612D" w:rsidRDefault="0097612D" w:rsidP="0097612D">
      <w:pPr>
        <w:ind w:firstLine="708"/>
        <w:jc w:val="both"/>
        <w:rPr>
          <w:b/>
          <w:sz w:val="28"/>
          <w:szCs w:val="28"/>
          <w:lang w:val="uk-UA"/>
        </w:rPr>
      </w:pPr>
    </w:p>
    <w:p w:rsidR="0097612D" w:rsidRPr="0097612D" w:rsidRDefault="0097612D" w:rsidP="0097612D">
      <w:pPr>
        <w:ind w:firstLine="708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 xml:space="preserve">П.1.5. Забезпечення хворої дитини на </w:t>
      </w:r>
      <w:proofErr w:type="spellStart"/>
      <w:r w:rsidRPr="0097612D">
        <w:rPr>
          <w:b/>
          <w:sz w:val="28"/>
          <w:szCs w:val="28"/>
          <w:lang w:val="uk-UA"/>
        </w:rPr>
        <w:t>лейциноз</w:t>
      </w:r>
      <w:proofErr w:type="spellEnd"/>
      <w:r w:rsidRPr="0097612D">
        <w:rPr>
          <w:b/>
          <w:sz w:val="28"/>
          <w:szCs w:val="28"/>
          <w:lang w:val="uk-UA"/>
        </w:rPr>
        <w:t xml:space="preserve"> лікувальною сумішшю.</w:t>
      </w:r>
    </w:p>
    <w:p w:rsidR="0097612D" w:rsidRPr="0097612D" w:rsidRDefault="0097612D" w:rsidP="0097612D">
      <w:pPr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У зв’язку з бойовими діями в Україні батьки з дитиною виїхали за кордон. Кошти не виділялися.</w:t>
      </w:r>
    </w:p>
    <w:p w:rsidR="0097612D" w:rsidRPr="0097612D" w:rsidRDefault="0097612D" w:rsidP="0097612D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 xml:space="preserve">П.2.1. Забезпечення оснащення туберкуліном та іншими витратними матеріалами для проведення масової </w:t>
      </w:r>
      <w:proofErr w:type="spellStart"/>
      <w:r w:rsidRPr="0097612D">
        <w:rPr>
          <w:b/>
          <w:sz w:val="28"/>
          <w:szCs w:val="28"/>
          <w:lang w:val="uk-UA"/>
        </w:rPr>
        <w:t>туберкулінодіагностики</w:t>
      </w:r>
      <w:proofErr w:type="spellEnd"/>
      <w:r w:rsidRPr="0097612D">
        <w:rPr>
          <w:b/>
          <w:sz w:val="28"/>
          <w:szCs w:val="28"/>
          <w:lang w:val="uk-UA"/>
        </w:rPr>
        <w:t xml:space="preserve"> серед дитячого населення міста.</w:t>
      </w:r>
    </w:p>
    <w:p w:rsidR="0097612D" w:rsidRPr="0097612D" w:rsidRDefault="0097612D" w:rsidP="0097612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ab/>
        <w:t xml:space="preserve">Туберкульоз є серйозною проблемою в Україні. </w:t>
      </w:r>
      <w:r w:rsidRPr="0097612D">
        <w:rPr>
          <w:sz w:val="28"/>
          <w:szCs w:val="28"/>
          <w:shd w:val="clear" w:color="auto" w:fill="F7F7F7"/>
          <w:lang w:val="uk-UA"/>
        </w:rPr>
        <w:t xml:space="preserve">Звертає на себе увагу та занепокоєння виявлення випадків дитячого туберкульозу. </w:t>
      </w:r>
      <w:proofErr w:type="spellStart"/>
      <w:r w:rsidRPr="0097612D">
        <w:rPr>
          <w:sz w:val="28"/>
          <w:szCs w:val="28"/>
          <w:shd w:val="clear" w:color="auto" w:fill="F7F7F7"/>
          <w:lang w:val="uk-UA"/>
        </w:rPr>
        <w:t>Т</w:t>
      </w:r>
      <w:r w:rsidRPr="0097612D">
        <w:rPr>
          <w:sz w:val="28"/>
          <w:szCs w:val="28"/>
          <w:lang w:val="uk-UA"/>
        </w:rPr>
        <w:t>уберкулінодіагностика</w:t>
      </w:r>
      <w:proofErr w:type="spellEnd"/>
      <w:r w:rsidRPr="0097612D">
        <w:rPr>
          <w:sz w:val="28"/>
          <w:szCs w:val="28"/>
          <w:lang w:val="uk-UA"/>
        </w:rPr>
        <w:t xml:space="preserve"> проводиться відповідно до вимог наказу Міністерства охорони </w:t>
      </w:r>
      <w:proofErr w:type="spellStart"/>
      <w:r w:rsidRPr="0097612D">
        <w:rPr>
          <w:sz w:val="28"/>
          <w:szCs w:val="28"/>
          <w:lang w:val="uk-UA"/>
        </w:rPr>
        <w:t>здоров՚я</w:t>
      </w:r>
      <w:proofErr w:type="spellEnd"/>
      <w:r w:rsidRPr="0097612D">
        <w:rPr>
          <w:sz w:val="28"/>
          <w:szCs w:val="28"/>
          <w:lang w:val="uk-UA"/>
        </w:rPr>
        <w:t xml:space="preserve"> України від 06.10.2021 № 2161 «Про внесення змін до стандартів охорони здоров’я при туберкульозі» тільки групам ризику після </w:t>
      </w:r>
      <w:proofErr w:type="spellStart"/>
      <w:r w:rsidRPr="0097612D">
        <w:rPr>
          <w:sz w:val="28"/>
          <w:szCs w:val="28"/>
          <w:lang w:val="uk-UA"/>
        </w:rPr>
        <w:t>скринінгової</w:t>
      </w:r>
      <w:proofErr w:type="spellEnd"/>
      <w:r w:rsidRPr="0097612D">
        <w:rPr>
          <w:sz w:val="28"/>
          <w:szCs w:val="28"/>
          <w:lang w:val="uk-UA"/>
        </w:rPr>
        <w:t xml:space="preserve"> анкети для батьків або законних представників дитини стосовно чинників ризику та симптомів, що можуть свідчити про туберкульоз у дитини та підлітків. Туберкулінова проба проводиться дітям віком від 4 до 14 років у групах ризику захворювання на туберкульоз. Дітям до 4 років та дітям  підліткового віку - за бажанням батьків в групах ризику щодо захворювання на туберкульоз та за </w:t>
      </w:r>
      <w:proofErr w:type="spellStart"/>
      <w:r w:rsidRPr="0097612D">
        <w:rPr>
          <w:sz w:val="28"/>
          <w:szCs w:val="28"/>
          <w:lang w:val="uk-UA"/>
        </w:rPr>
        <w:t>епідпоказами</w:t>
      </w:r>
      <w:proofErr w:type="spellEnd"/>
      <w:r w:rsidRPr="0097612D">
        <w:rPr>
          <w:sz w:val="28"/>
          <w:szCs w:val="28"/>
          <w:lang w:val="uk-UA"/>
        </w:rPr>
        <w:t xml:space="preserve">. Так, протягом 2022 року план </w:t>
      </w:r>
      <w:proofErr w:type="spellStart"/>
      <w:r w:rsidRPr="0097612D">
        <w:rPr>
          <w:sz w:val="28"/>
          <w:szCs w:val="28"/>
          <w:lang w:val="uk-UA"/>
        </w:rPr>
        <w:t>туберкулінодіагностики</w:t>
      </w:r>
      <w:proofErr w:type="spellEnd"/>
      <w:r w:rsidRPr="0097612D">
        <w:rPr>
          <w:sz w:val="28"/>
          <w:szCs w:val="28"/>
          <w:lang w:val="uk-UA"/>
        </w:rPr>
        <w:t xml:space="preserve"> виконаний на 100%, з них 56% групі ризику проведено вакцинацію та 44% проведено анкетування (план на рік складає 3 480 осіб – виконання 1 948 осіб – група ризику, 1 532 осіб – анкетування). Програмою на зазначені заходи передбачалось </w:t>
      </w:r>
      <w:r w:rsidRPr="0097612D">
        <w:rPr>
          <w:b/>
          <w:sz w:val="28"/>
          <w:szCs w:val="28"/>
          <w:lang w:val="uk-UA"/>
        </w:rPr>
        <w:t xml:space="preserve">127,35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</w:t>
      </w:r>
      <w:r w:rsidRPr="0097612D">
        <w:rPr>
          <w:sz w:val="28"/>
          <w:szCs w:val="28"/>
          <w:lang w:val="uk-UA"/>
        </w:rPr>
        <w:t xml:space="preserve"> Уточнений план </w:t>
      </w:r>
      <w:r w:rsidRPr="0097612D">
        <w:rPr>
          <w:b/>
          <w:sz w:val="28"/>
          <w:szCs w:val="28"/>
          <w:lang w:val="uk-UA"/>
        </w:rPr>
        <w:t xml:space="preserve">73,5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color w:val="FF0000"/>
          <w:sz w:val="28"/>
          <w:szCs w:val="28"/>
          <w:lang w:val="uk-UA"/>
        </w:rPr>
        <w:t xml:space="preserve"> </w:t>
      </w:r>
      <w:r w:rsidRPr="0097612D">
        <w:rPr>
          <w:sz w:val="28"/>
          <w:szCs w:val="28"/>
          <w:lang w:val="uk-UA"/>
        </w:rPr>
        <w:t>фактичні видатки на проведення даного заходу становлять</w:t>
      </w:r>
      <w:r w:rsidRPr="0097612D">
        <w:rPr>
          <w:color w:val="FF0000"/>
          <w:sz w:val="28"/>
          <w:szCs w:val="28"/>
          <w:lang w:val="uk-UA"/>
        </w:rPr>
        <w:t xml:space="preserve"> </w:t>
      </w:r>
      <w:r w:rsidRPr="0097612D">
        <w:rPr>
          <w:b/>
          <w:sz w:val="28"/>
          <w:szCs w:val="28"/>
          <w:lang w:val="uk-UA"/>
        </w:rPr>
        <w:t xml:space="preserve">73,5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 xml:space="preserve">., що становить </w:t>
      </w:r>
      <w:r w:rsidRPr="0097612D">
        <w:rPr>
          <w:b/>
          <w:sz w:val="28"/>
          <w:szCs w:val="28"/>
          <w:lang w:val="uk-UA"/>
        </w:rPr>
        <w:t>100%</w:t>
      </w:r>
      <w:r w:rsidRPr="0097612D">
        <w:rPr>
          <w:sz w:val="28"/>
          <w:szCs w:val="28"/>
          <w:lang w:val="uk-UA"/>
        </w:rPr>
        <w:t xml:space="preserve"> планових призначень. </w:t>
      </w: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>П.3.1. Забезпечення препаратами пацієнтів з хронічною нирковою недостатністю.</w:t>
      </w: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Для попередження погіршення стану та виникнення ускладнень у трьох хворих на хронічну ниркову недостатність, на придбання </w:t>
      </w:r>
      <w:proofErr w:type="spellStart"/>
      <w:r w:rsidRPr="0097612D">
        <w:rPr>
          <w:sz w:val="28"/>
          <w:szCs w:val="28"/>
          <w:lang w:val="uk-UA"/>
        </w:rPr>
        <w:t>імуносупресивних</w:t>
      </w:r>
      <w:proofErr w:type="spellEnd"/>
      <w:r w:rsidRPr="0097612D">
        <w:rPr>
          <w:sz w:val="28"/>
          <w:szCs w:val="28"/>
          <w:lang w:val="uk-UA"/>
        </w:rPr>
        <w:t xml:space="preserve"> засобів програмою було передбачено кошти у сумі </w:t>
      </w:r>
      <w:r w:rsidRPr="0097612D">
        <w:rPr>
          <w:b/>
          <w:sz w:val="28"/>
          <w:szCs w:val="28"/>
          <w:lang w:val="uk-UA"/>
        </w:rPr>
        <w:t xml:space="preserve">310,1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sz w:val="28"/>
          <w:szCs w:val="28"/>
          <w:lang w:val="uk-UA"/>
        </w:rPr>
        <w:t xml:space="preserve"> план на рік – </w:t>
      </w:r>
      <w:r w:rsidRPr="0097612D">
        <w:rPr>
          <w:b/>
          <w:sz w:val="28"/>
          <w:szCs w:val="28"/>
          <w:lang w:val="uk-UA"/>
        </w:rPr>
        <w:t xml:space="preserve">310,1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 xml:space="preserve">., </w:t>
      </w:r>
      <w:r w:rsidRPr="0097612D">
        <w:rPr>
          <w:sz w:val="28"/>
          <w:szCs w:val="28"/>
          <w:lang w:val="uk-UA"/>
        </w:rPr>
        <w:t>фактичне використання</w:t>
      </w:r>
      <w:r w:rsidRPr="0097612D">
        <w:rPr>
          <w:b/>
          <w:sz w:val="28"/>
          <w:szCs w:val="28"/>
          <w:lang w:val="uk-UA"/>
        </w:rPr>
        <w:t xml:space="preserve"> – 285,8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color w:val="FF0000"/>
          <w:sz w:val="28"/>
          <w:szCs w:val="28"/>
          <w:lang w:val="uk-UA"/>
        </w:rPr>
        <w:t xml:space="preserve"> </w:t>
      </w:r>
      <w:r w:rsidRPr="0097612D">
        <w:rPr>
          <w:sz w:val="28"/>
          <w:szCs w:val="28"/>
          <w:lang w:val="uk-UA"/>
        </w:rPr>
        <w:t>виконання становить –</w:t>
      </w:r>
      <w:r w:rsidRPr="0097612D">
        <w:rPr>
          <w:b/>
          <w:sz w:val="28"/>
          <w:szCs w:val="28"/>
          <w:lang w:val="uk-UA"/>
        </w:rPr>
        <w:t xml:space="preserve">92,2%. </w:t>
      </w:r>
      <w:r w:rsidRPr="0097612D">
        <w:rPr>
          <w:sz w:val="28"/>
          <w:szCs w:val="28"/>
          <w:lang w:val="uk-UA"/>
        </w:rPr>
        <w:t xml:space="preserve">Один з пацієнтів не звернувся до аптеки для отримання препаратів до закінчення бюджетного року. Тому виникла економія коштів по цьому заходу. </w:t>
      </w: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 xml:space="preserve">П.5.2. Проведення капітальних, поточних ремонтів будівель та прилеглих територій підприємств, придбання обладнання, запчастин та інше. Оформлення, виготовлення </w:t>
      </w:r>
      <w:proofErr w:type="spellStart"/>
      <w:r w:rsidRPr="0097612D">
        <w:rPr>
          <w:b/>
          <w:sz w:val="28"/>
          <w:szCs w:val="28"/>
          <w:lang w:val="uk-UA"/>
        </w:rPr>
        <w:t>проєктів</w:t>
      </w:r>
      <w:proofErr w:type="spellEnd"/>
      <w:r w:rsidRPr="0097612D">
        <w:rPr>
          <w:b/>
          <w:sz w:val="28"/>
          <w:szCs w:val="28"/>
          <w:lang w:val="uk-UA"/>
        </w:rPr>
        <w:t xml:space="preserve">, </w:t>
      </w:r>
      <w:proofErr w:type="spellStart"/>
      <w:r w:rsidRPr="0097612D">
        <w:rPr>
          <w:b/>
          <w:sz w:val="28"/>
          <w:szCs w:val="28"/>
          <w:lang w:val="uk-UA"/>
        </w:rPr>
        <w:t>проєктно</w:t>
      </w:r>
      <w:proofErr w:type="spellEnd"/>
      <w:r w:rsidRPr="0097612D">
        <w:rPr>
          <w:b/>
          <w:sz w:val="28"/>
          <w:szCs w:val="28"/>
          <w:lang w:val="uk-UA"/>
        </w:rPr>
        <w:t xml:space="preserve">-кошторисної та технічної документації на будівлі. </w:t>
      </w: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Одним із заходів програми є розвиток підприємств охорони здоров’я Синельниківської територіальної громади шляхом проведення капітальних, поточних ремонтів будівель та прилеглих до них територій. У зв’язку із </w:t>
      </w:r>
      <w:r w:rsidRPr="0097612D">
        <w:rPr>
          <w:sz w:val="28"/>
          <w:szCs w:val="28"/>
          <w:lang w:val="uk-UA"/>
        </w:rPr>
        <w:lastRenderedPageBreak/>
        <w:t xml:space="preserve">застарілою системою опалення в амбулаторії ЗПСМ № 3 та виходу із ладу твердопаливних котлів вугільних, було прийнято рішення провести заміну системи опалення, на що програмою передбачено кошти у сумі </w:t>
      </w:r>
      <w:r w:rsidRPr="0097612D">
        <w:rPr>
          <w:b/>
          <w:sz w:val="28"/>
          <w:szCs w:val="28"/>
          <w:lang w:val="uk-UA"/>
        </w:rPr>
        <w:t xml:space="preserve">483,12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</w:t>
      </w:r>
      <w:r w:rsidRPr="0097612D">
        <w:rPr>
          <w:sz w:val="28"/>
          <w:szCs w:val="28"/>
          <w:lang w:val="uk-UA"/>
        </w:rPr>
        <w:t xml:space="preserve"> Уточнений план </w:t>
      </w:r>
      <w:r w:rsidRPr="0097612D">
        <w:rPr>
          <w:b/>
          <w:sz w:val="28"/>
          <w:szCs w:val="28"/>
          <w:lang w:val="uk-UA"/>
        </w:rPr>
        <w:t xml:space="preserve">481,5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sz w:val="28"/>
          <w:szCs w:val="28"/>
          <w:lang w:val="uk-UA"/>
        </w:rPr>
        <w:t xml:space="preserve"> витрачено коштів на заміну системи опалення у </w:t>
      </w: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\</w:t>
      </w:r>
    </w:p>
    <w:p w:rsidR="0097612D" w:rsidRPr="0097612D" w:rsidRDefault="0097612D" w:rsidP="0097612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сумі </w:t>
      </w:r>
      <w:r w:rsidRPr="0097612D">
        <w:rPr>
          <w:b/>
          <w:sz w:val="28"/>
          <w:szCs w:val="28"/>
          <w:lang w:val="uk-UA"/>
        </w:rPr>
        <w:t xml:space="preserve">481,4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 xml:space="preserve">. </w:t>
      </w:r>
      <w:r w:rsidRPr="0097612D">
        <w:rPr>
          <w:sz w:val="28"/>
          <w:szCs w:val="28"/>
          <w:lang w:val="uk-UA"/>
        </w:rPr>
        <w:t>Кошти освоєно у повному обсязі.</w:t>
      </w:r>
    </w:p>
    <w:p w:rsidR="0097612D" w:rsidRPr="0097612D" w:rsidRDefault="0097612D" w:rsidP="0097612D">
      <w:pPr>
        <w:ind w:firstLine="708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 xml:space="preserve">П.6.2. Забезпечення предметами довгострокового використання, матеріалами, меблями та інше; медикаментами та товарами медичного призначення. </w:t>
      </w:r>
    </w:p>
    <w:p w:rsidR="0097612D" w:rsidRPr="0097612D" w:rsidRDefault="0097612D" w:rsidP="0097612D">
      <w:pPr>
        <w:ind w:firstLine="708"/>
        <w:jc w:val="both"/>
        <w:rPr>
          <w:b/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Програмою затверджено кошти у сумі </w:t>
      </w:r>
      <w:r w:rsidRPr="0097612D">
        <w:rPr>
          <w:b/>
          <w:sz w:val="28"/>
          <w:szCs w:val="28"/>
          <w:lang w:val="uk-UA"/>
        </w:rPr>
        <w:t xml:space="preserve">2 347,5 тис. грн. </w:t>
      </w:r>
    </w:p>
    <w:p w:rsidR="0097612D" w:rsidRPr="0097612D" w:rsidRDefault="0097612D" w:rsidP="0097612D">
      <w:pPr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Одним із заходів програми є забезпечення пільгової категорії населення медикаментами на пільговій та безоплатній основі, уточнений план                         </w:t>
      </w:r>
      <w:r w:rsidRPr="0097612D">
        <w:rPr>
          <w:b/>
          <w:sz w:val="28"/>
          <w:szCs w:val="28"/>
          <w:lang w:val="uk-UA"/>
        </w:rPr>
        <w:t xml:space="preserve">994,6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sz w:val="28"/>
          <w:szCs w:val="28"/>
          <w:lang w:val="uk-UA"/>
        </w:rPr>
        <w:t xml:space="preserve"> використано </w:t>
      </w:r>
      <w:r w:rsidRPr="0097612D">
        <w:rPr>
          <w:b/>
          <w:sz w:val="28"/>
          <w:szCs w:val="28"/>
          <w:lang w:val="uk-UA"/>
        </w:rPr>
        <w:t xml:space="preserve">950,6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b/>
          <w:color w:val="FF0000"/>
          <w:sz w:val="28"/>
          <w:szCs w:val="28"/>
          <w:lang w:val="uk-UA"/>
        </w:rPr>
        <w:t xml:space="preserve"> </w:t>
      </w:r>
      <w:r w:rsidRPr="0097612D">
        <w:rPr>
          <w:sz w:val="28"/>
          <w:szCs w:val="28"/>
          <w:lang w:val="uk-UA"/>
        </w:rPr>
        <w:t>виконання</w:t>
      </w:r>
      <w:r w:rsidRPr="0097612D">
        <w:rPr>
          <w:b/>
          <w:sz w:val="28"/>
          <w:szCs w:val="28"/>
          <w:lang w:val="uk-UA"/>
        </w:rPr>
        <w:t xml:space="preserve"> – 95,6%:</w:t>
      </w:r>
    </w:p>
    <w:p w:rsidR="0097612D" w:rsidRPr="0097612D" w:rsidRDefault="0097612D" w:rsidP="009761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612D">
        <w:rPr>
          <w:rFonts w:ascii="Times New Roman" w:hAnsi="Times New Roman"/>
          <w:sz w:val="28"/>
          <w:szCs w:val="28"/>
          <w:lang w:val="uk-UA"/>
        </w:rPr>
        <w:t>онкопатологія</w:t>
      </w:r>
      <w:proofErr w:type="spellEnd"/>
      <w:r w:rsidRPr="0097612D">
        <w:rPr>
          <w:rFonts w:ascii="Times New Roman" w:hAnsi="Times New Roman"/>
          <w:sz w:val="28"/>
          <w:szCs w:val="28"/>
          <w:lang w:val="uk-UA"/>
        </w:rPr>
        <w:t xml:space="preserve"> – 73,2% (з них знеболення –22,9%);</w:t>
      </w:r>
    </w:p>
    <w:p w:rsidR="0097612D" w:rsidRPr="0097612D" w:rsidRDefault="0097612D" w:rsidP="009761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12D">
        <w:rPr>
          <w:rFonts w:ascii="Times New Roman" w:hAnsi="Times New Roman"/>
          <w:sz w:val="28"/>
          <w:szCs w:val="28"/>
          <w:lang w:val="uk-UA"/>
        </w:rPr>
        <w:t>психічні захворювання – 11,7%;</w:t>
      </w:r>
    </w:p>
    <w:p w:rsidR="0097612D" w:rsidRPr="0097612D" w:rsidRDefault="0097612D" w:rsidP="009761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12D">
        <w:rPr>
          <w:rFonts w:ascii="Times New Roman" w:hAnsi="Times New Roman"/>
          <w:sz w:val="28"/>
          <w:szCs w:val="28"/>
          <w:lang w:val="uk-UA"/>
        </w:rPr>
        <w:t>хвороба Паркінсона – 10,6;</w:t>
      </w:r>
    </w:p>
    <w:p w:rsidR="0097612D" w:rsidRPr="0097612D" w:rsidRDefault="0097612D" w:rsidP="0097612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612D">
        <w:rPr>
          <w:rFonts w:ascii="Times New Roman" w:hAnsi="Times New Roman"/>
          <w:sz w:val="28"/>
          <w:szCs w:val="28"/>
          <w:lang w:val="uk-UA"/>
        </w:rPr>
        <w:t>Міостенія</w:t>
      </w:r>
      <w:proofErr w:type="spellEnd"/>
      <w:r w:rsidRPr="0097612D">
        <w:rPr>
          <w:rFonts w:ascii="Times New Roman" w:hAnsi="Times New Roman"/>
          <w:sz w:val="28"/>
          <w:szCs w:val="28"/>
          <w:lang w:val="uk-UA"/>
        </w:rPr>
        <w:t xml:space="preserve"> – 2,0%.</w:t>
      </w:r>
    </w:p>
    <w:p w:rsidR="0097612D" w:rsidRPr="0097612D" w:rsidRDefault="0097612D" w:rsidP="0097612D">
      <w:pPr>
        <w:ind w:left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-    інші захворювання – 2,5%</w:t>
      </w:r>
    </w:p>
    <w:p w:rsidR="0097612D" w:rsidRPr="0097612D" w:rsidRDefault="0097612D" w:rsidP="0097612D">
      <w:pPr>
        <w:ind w:left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Пільгова    категорія    населення   медичними   препаратами   забезпечена  в</w:t>
      </w:r>
    </w:p>
    <w:p w:rsidR="0097612D" w:rsidRPr="0097612D" w:rsidRDefault="0097612D" w:rsidP="0097612D">
      <w:pPr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повному обсязі.</w:t>
      </w:r>
    </w:p>
    <w:p w:rsidR="0097612D" w:rsidRPr="0097612D" w:rsidRDefault="0097612D" w:rsidP="0097612D">
      <w:pPr>
        <w:ind w:firstLine="708"/>
        <w:jc w:val="both"/>
        <w:rPr>
          <w:sz w:val="16"/>
          <w:szCs w:val="16"/>
          <w:lang w:val="uk-UA"/>
        </w:rPr>
      </w:pPr>
    </w:p>
    <w:p w:rsidR="0097612D" w:rsidRPr="0097612D" w:rsidRDefault="0097612D" w:rsidP="0097612D">
      <w:pPr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У зв’язку з воєнним станом у країні та на вимогу 10 Державного </w:t>
      </w:r>
      <w:proofErr w:type="spellStart"/>
      <w:r w:rsidRPr="0097612D">
        <w:rPr>
          <w:sz w:val="28"/>
          <w:szCs w:val="28"/>
          <w:lang w:val="uk-UA"/>
        </w:rPr>
        <w:t>пожежно</w:t>
      </w:r>
      <w:proofErr w:type="spellEnd"/>
      <w:r w:rsidRPr="0097612D">
        <w:rPr>
          <w:sz w:val="28"/>
          <w:szCs w:val="28"/>
          <w:lang w:val="uk-UA"/>
        </w:rPr>
        <w:t xml:space="preserve">-рятувального загону Головного управління ДСНС у Дніпропетровській області, з метою забезпечення безперебійної роботи амбулаторій ЗПСМ, сталого електропостачання та для забезпечення автономного електроживлення було заплановано придбання генератора бензинового у кількості 1 од. на суму </w:t>
      </w:r>
      <w:bookmarkStart w:id="0" w:name="_GoBack"/>
      <w:bookmarkEnd w:id="0"/>
      <w:r w:rsidRPr="0097612D">
        <w:rPr>
          <w:b/>
          <w:sz w:val="28"/>
          <w:szCs w:val="28"/>
          <w:lang w:val="uk-UA"/>
        </w:rPr>
        <w:t xml:space="preserve">41,0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</w:t>
      </w:r>
      <w:r w:rsidRPr="0097612D">
        <w:rPr>
          <w:sz w:val="28"/>
          <w:szCs w:val="28"/>
          <w:lang w:val="uk-UA"/>
        </w:rPr>
        <w:t xml:space="preserve"> </w:t>
      </w:r>
      <w:proofErr w:type="spellStart"/>
      <w:r w:rsidRPr="0097612D">
        <w:rPr>
          <w:sz w:val="28"/>
          <w:szCs w:val="28"/>
          <w:lang w:val="uk-UA"/>
        </w:rPr>
        <w:t>Генаратор</w:t>
      </w:r>
      <w:proofErr w:type="spellEnd"/>
      <w:r w:rsidRPr="0097612D">
        <w:rPr>
          <w:sz w:val="28"/>
          <w:szCs w:val="28"/>
          <w:lang w:val="uk-UA"/>
        </w:rPr>
        <w:t xml:space="preserve"> бензиновий придбано на суму </w:t>
      </w:r>
      <w:r w:rsidRPr="0097612D">
        <w:rPr>
          <w:b/>
          <w:sz w:val="28"/>
          <w:szCs w:val="28"/>
          <w:lang w:val="uk-UA"/>
        </w:rPr>
        <w:t xml:space="preserve">35,0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</w:t>
      </w:r>
    </w:p>
    <w:p w:rsidR="0097612D" w:rsidRPr="0097612D" w:rsidRDefault="0097612D" w:rsidP="0097612D">
      <w:pPr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У грудні 2019 року КНП «</w:t>
      </w:r>
      <w:proofErr w:type="spellStart"/>
      <w:r w:rsidRPr="0097612D">
        <w:rPr>
          <w:sz w:val="28"/>
          <w:szCs w:val="28"/>
          <w:lang w:val="uk-UA"/>
        </w:rPr>
        <w:t>Синельниківський</w:t>
      </w:r>
      <w:proofErr w:type="spellEnd"/>
      <w:r w:rsidRPr="0097612D">
        <w:rPr>
          <w:sz w:val="28"/>
          <w:szCs w:val="28"/>
          <w:lang w:val="uk-UA"/>
        </w:rPr>
        <w:t xml:space="preserve"> центр ПМСД СМР» надало пропозицію до участі у конкурсі </w:t>
      </w:r>
      <w:proofErr w:type="spellStart"/>
      <w:r w:rsidRPr="0097612D">
        <w:rPr>
          <w:sz w:val="28"/>
          <w:szCs w:val="28"/>
          <w:lang w:val="uk-UA"/>
        </w:rPr>
        <w:t>субпроекту</w:t>
      </w:r>
      <w:proofErr w:type="spellEnd"/>
      <w:r w:rsidRPr="0097612D">
        <w:rPr>
          <w:sz w:val="28"/>
          <w:szCs w:val="28"/>
          <w:lang w:val="uk-UA"/>
        </w:rPr>
        <w:t xml:space="preserve"> «Сприяння розвитку соціальної інфраструктури – поліпшення первинної сільської медицини (УФСІ VII)» організованого Українським Фондом соціальних інвестицій за сприяння та фінансування Уряду Німеччини. Умовами даного проекту передбачено виділення коштів на проведення робіт з поліпшення умов надання первинної медичної допомоги шляхом енергоефективного оновлення приміщень та постачання медичного обладнання в обсязі 250 тис. євро (еквівалент 8 278,8 </w:t>
      </w:r>
      <w:proofErr w:type="spellStart"/>
      <w:r w:rsidRPr="0097612D">
        <w:rPr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 xml:space="preserve">. по діючому курсу). </w:t>
      </w:r>
    </w:p>
    <w:p w:rsidR="0097612D" w:rsidRPr="0097612D" w:rsidRDefault="0097612D" w:rsidP="0097612D">
      <w:pPr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На придбання меблі та іншого устаткування для забезпечення сталої роботи амбулаторії ЗПСМ №2 було виділено кошти в сумі </w:t>
      </w:r>
      <w:r w:rsidRPr="0097612D">
        <w:rPr>
          <w:b/>
          <w:sz w:val="28"/>
          <w:szCs w:val="28"/>
          <w:lang w:val="uk-UA"/>
        </w:rPr>
        <w:t xml:space="preserve">1 210,7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</w:t>
      </w:r>
      <w:r w:rsidRPr="0097612D">
        <w:rPr>
          <w:sz w:val="28"/>
          <w:szCs w:val="28"/>
          <w:lang w:val="uk-UA"/>
        </w:rPr>
        <w:t xml:space="preserve"> Кошти освоєно в повному обсязі.</w:t>
      </w:r>
    </w:p>
    <w:p w:rsidR="0097612D" w:rsidRPr="0097612D" w:rsidRDefault="0097612D" w:rsidP="0097612D">
      <w:pPr>
        <w:ind w:left="708"/>
        <w:jc w:val="both"/>
        <w:rPr>
          <w:sz w:val="28"/>
          <w:szCs w:val="28"/>
          <w:lang w:val="uk-UA"/>
        </w:rPr>
      </w:pPr>
    </w:p>
    <w:p w:rsidR="0097612D" w:rsidRPr="0097612D" w:rsidRDefault="0097612D" w:rsidP="0097612D">
      <w:pPr>
        <w:ind w:firstLine="708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>П.6.3. Оплата комунальних послуг.</w:t>
      </w:r>
    </w:p>
    <w:p w:rsidR="0097612D" w:rsidRPr="0097612D" w:rsidRDefault="0097612D" w:rsidP="0097612D">
      <w:pPr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На оплату енергоносіїв програмою передбачена сума у розмірі                  </w:t>
      </w:r>
      <w:r w:rsidRPr="0097612D">
        <w:rPr>
          <w:b/>
          <w:sz w:val="28"/>
          <w:szCs w:val="28"/>
          <w:lang w:val="uk-UA"/>
        </w:rPr>
        <w:t xml:space="preserve">2 353,0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</w:t>
      </w:r>
      <w:r w:rsidRPr="0097612D">
        <w:rPr>
          <w:sz w:val="28"/>
          <w:szCs w:val="28"/>
          <w:lang w:val="uk-UA"/>
        </w:rPr>
        <w:t xml:space="preserve"> Уточнений план - </w:t>
      </w:r>
      <w:r w:rsidRPr="0097612D">
        <w:rPr>
          <w:b/>
          <w:sz w:val="28"/>
          <w:szCs w:val="28"/>
          <w:lang w:val="uk-UA"/>
        </w:rPr>
        <w:t xml:space="preserve">1 346,0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>.,</w:t>
      </w:r>
      <w:r w:rsidRPr="0097612D">
        <w:rPr>
          <w:b/>
          <w:color w:val="FF0000"/>
          <w:sz w:val="28"/>
          <w:szCs w:val="28"/>
          <w:lang w:val="uk-UA"/>
        </w:rPr>
        <w:t xml:space="preserve"> </w:t>
      </w:r>
      <w:r w:rsidRPr="0097612D">
        <w:rPr>
          <w:sz w:val="28"/>
          <w:szCs w:val="28"/>
          <w:lang w:val="uk-UA"/>
        </w:rPr>
        <w:t xml:space="preserve">використано – </w:t>
      </w:r>
      <w:r w:rsidRPr="0097612D">
        <w:rPr>
          <w:b/>
          <w:sz w:val="28"/>
          <w:szCs w:val="28"/>
          <w:lang w:val="uk-UA"/>
        </w:rPr>
        <w:t>1 117,8 тис. грн.,</w:t>
      </w:r>
      <w:r w:rsidRPr="0097612D">
        <w:rPr>
          <w:sz w:val="28"/>
          <w:szCs w:val="28"/>
          <w:lang w:val="uk-UA"/>
        </w:rPr>
        <w:t xml:space="preserve"> виконання – </w:t>
      </w:r>
      <w:r w:rsidRPr="0097612D">
        <w:rPr>
          <w:b/>
          <w:sz w:val="28"/>
          <w:szCs w:val="28"/>
          <w:lang w:val="uk-UA"/>
        </w:rPr>
        <w:t>83%.</w:t>
      </w:r>
      <w:r w:rsidRPr="0097612D">
        <w:rPr>
          <w:sz w:val="28"/>
          <w:szCs w:val="28"/>
          <w:lang w:val="uk-UA"/>
        </w:rPr>
        <w:t xml:space="preserve"> Економія коштів по енергоносіям склалась:</w:t>
      </w:r>
    </w:p>
    <w:p w:rsidR="0097612D" w:rsidRPr="0097612D" w:rsidRDefault="0097612D" w:rsidP="009761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12D">
        <w:rPr>
          <w:rFonts w:ascii="Times New Roman" w:hAnsi="Times New Roman"/>
          <w:sz w:val="28"/>
          <w:szCs w:val="28"/>
          <w:lang w:val="uk-UA"/>
        </w:rPr>
        <w:lastRenderedPageBreak/>
        <w:t>ремонт амбулаторій ЗПСМ № 2, №3;</w:t>
      </w:r>
    </w:p>
    <w:p w:rsidR="0097612D" w:rsidRPr="0097612D" w:rsidRDefault="0097612D" w:rsidP="009761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612D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97612D">
        <w:rPr>
          <w:rFonts w:ascii="Times New Roman" w:hAnsi="Times New Roman"/>
          <w:sz w:val="28"/>
          <w:szCs w:val="28"/>
          <w:lang w:val="uk-UA"/>
        </w:rPr>
        <w:t>звязку</w:t>
      </w:r>
      <w:proofErr w:type="spellEnd"/>
      <w:r w:rsidRPr="0097612D">
        <w:rPr>
          <w:rFonts w:ascii="Times New Roman" w:hAnsi="Times New Roman"/>
          <w:sz w:val="28"/>
          <w:szCs w:val="28"/>
          <w:lang w:val="uk-UA"/>
        </w:rPr>
        <w:t xml:space="preserve"> з військовим станом у лютому місяці за електроенергію було сплачено 1 копійка.</w:t>
      </w:r>
    </w:p>
    <w:p w:rsidR="0097612D" w:rsidRPr="0097612D" w:rsidRDefault="0097612D" w:rsidP="0097612D">
      <w:pPr>
        <w:jc w:val="both"/>
        <w:rPr>
          <w:sz w:val="28"/>
          <w:szCs w:val="28"/>
          <w:lang w:val="uk-UA"/>
        </w:rPr>
      </w:pPr>
    </w:p>
    <w:p w:rsidR="0097612D" w:rsidRPr="0097612D" w:rsidRDefault="0097612D" w:rsidP="0097612D">
      <w:pPr>
        <w:ind w:firstLine="567"/>
        <w:jc w:val="both"/>
        <w:rPr>
          <w:b/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Таким чином, на реалізацію заходів міської програми «Комплексна програма розвитку та фінансової підтримки закладів охорони здоров’я міста Синельникове на 2020-2025 роки» зі змінами та доповненнями протягом 2022 року використано у сумі </w:t>
      </w:r>
      <w:r w:rsidRPr="0097612D">
        <w:rPr>
          <w:b/>
          <w:sz w:val="28"/>
          <w:szCs w:val="28"/>
          <w:lang w:val="uk-UA"/>
        </w:rPr>
        <w:t xml:space="preserve">4 777,6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 xml:space="preserve">, (в </w:t>
      </w:r>
      <w:proofErr w:type="spellStart"/>
      <w:r w:rsidRPr="0097612D">
        <w:rPr>
          <w:sz w:val="28"/>
          <w:szCs w:val="28"/>
          <w:lang w:val="uk-UA"/>
        </w:rPr>
        <w:t>т.ч</w:t>
      </w:r>
      <w:proofErr w:type="spellEnd"/>
      <w:r w:rsidRPr="0097612D">
        <w:rPr>
          <w:sz w:val="28"/>
          <w:szCs w:val="28"/>
          <w:lang w:val="uk-UA"/>
        </w:rPr>
        <w:t xml:space="preserve">. кошти загального фонду </w:t>
      </w:r>
      <w:r w:rsidRPr="0097612D">
        <w:rPr>
          <w:b/>
          <w:sz w:val="28"/>
          <w:szCs w:val="28"/>
          <w:lang w:val="uk-UA"/>
        </w:rPr>
        <w:t xml:space="preserve">4 438,9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 xml:space="preserve"> та спеціального фонду </w:t>
      </w:r>
      <w:r w:rsidRPr="0097612D">
        <w:rPr>
          <w:b/>
          <w:sz w:val="28"/>
          <w:szCs w:val="28"/>
          <w:lang w:val="uk-UA"/>
        </w:rPr>
        <w:t xml:space="preserve">35,0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 xml:space="preserve">.) із запланованих бюджетом </w:t>
      </w:r>
      <w:r w:rsidRPr="0097612D">
        <w:rPr>
          <w:b/>
          <w:sz w:val="28"/>
          <w:szCs w:val="28"/>
          <w:lang w:val="uk-UA"/>
        </w:rPr>
        <w:t xml:space="preserve">4 473,9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 xml:space="preserve">, виконання </w:t>
      </w:r>
      <w:r w:rsidRPr="0097612D">
        <w:rPr>
          <w:b/>
          <w:sz w:val="28"/>
          <w:szCs w:val="28"/>
          <w:lang w:val="uk-UA"/>
        </w:rPr>
        <w:t xml:space="preserve">93,6%. 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0"/>
        <w:gridCol w:w="5524"/>
        <w:gridCol w:w="1134"/>
        <w:gridCol w:w="1141"/>
      </w:tblGrid>
      <w:tr w:rsidR="0097612D" w:rsidRPr="0097612D" w:rsidTr="002433A1">
        <w:trPr>
          <w:trHeight w:val="40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 xml:space="preserve">ПЕРЕЛІК </w:t>
            </w:r>
          </w:p>
        </w:tc>
      </w:tr>
      <w:tr w:rsidR="0097612D" w:rsidRPr="0097612D" w:rsidTr="002433A1">
        <w:trPr>
          <w:trHeight w:val="51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 xml:space="preserve">завдань та заходів міської програми «Комплексна програма розвитку та фінансової підтримки закладів охорони здоров’я м. Синельникове на 2020-2025 роки» </w:t>
            </w:r>
          </w:p>
          <w:p w:rsidR="0097612D" w:rsidRPr="0097612D" w:rsidRDefault="0097612D" w:rsidP="002433A1">
            <w:pPr>
              <w:jc w:val="center"/>
              <w:rPr>
                <w:lang w:val="uk-UA"/>
              </w:rPr>
            </w:pPr>
          </w:p>
        </w:tc>
      </w:tr>
      <w:tr w:rsidR="0097612D" w:rsidRPr="0097612D" w:rsidTr="002433A1">
        <w:trPr>
          <w:trHeight w:val="32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proofErr w:type="spellStart"/>
            <w:r w:rsidRPr="0097612D">
              <w:rPr>
                <w:lang w:val="uk-UA"/>
              </w:rPr>
              <w:t>тис.грн</w:t>
            </w:r>
            <w:proofErr w:type="spellEnd"/>
            <w:r w:rsidRPr="0097612D">
              <w:rPr>
                <w:lang w:val="uk-UA"/>
              </w:rPr>
              <w:t>.</w:t>
            </w:r>
          </w:p>
        </w:tc>
      </w:tr>
      <w:tr w:rsidR="0097612D" w:rsidRPr="0097612D" w:rsidTr="002433A1">
        <w:trPr>
          <w:trHeight w:val="322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</w:tr>
      <w:tr w:rsidR="0097612D" w:rsidRPr="0097612D" w:rsidTr="002433A1">
        <w:trPr>
          <w:trHeight w:val="578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5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План</w:t>
            </w:r>
          </w:p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2022 рік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Факт  2022 рік</w:t>
            </w:r>
          </w:p>
        </w:tc>
      </w:tr>
      <w:tr w:rsidR="0097612D" w:rsidRPr="0097612D" w:rsidTr="002433A1">
        <w:trPr>
          <w:trHeight w:val="700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1. Забезпечення умов безпечного материнства, здорового дитинства та збереження репродуктивного здоров'я населення</w:t>
            </w:r>
          </w:p>
        </w:tc>
      </w:tr>
      <w:tr w:rsidR="0097612D" w:rsidRPr="0097612D" w:rsidTr="002433A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320,2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318,9</w:t>
            </w:r>
          </w:p>
        </w:tc>
      </w:tr>
      <w:tr w:rsidR="0097612D" w:rsidRPr="0097612D" w:rsidTr="002433A1">
        <w:trPr>
          <w:trHeight w:val="73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Забезпечення умов безпечного материнства, здорового дитинства та збереження продуктивного здоров'я населення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>1.1. Забезпечення дітей з інвалідністю медикаментами та лікувальним харчуванням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92,5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 xml:space="preserve">92,4 </w:t>
            </w:r>
          </w:p>
        </w:tc>
      </w:tr>
      <w:tr w:rsidR="0097612D" w:rsidRPr="0097612D" w:rsidTr="002433A1">
        <w:trPr>
          <w:trHeight w:val="57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>1.2. Забезпечення молочними сумішами дітей народжених від ВІЛ інфікованих матерів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0,00</w:t>
            </w:r>
          </w:p>
        </w:tc>
      </w:tr>
      <w:tr w:rsidR="0097612D" w:rsidRPr="0097612D" w:rsidTr="002433A1">
        <w:trPr>
          <w:trHeight w:val="75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 xml:space="preserve">1.3. Забезпечення дітей хворих на </w:t>
            </w:r>
            <w:proofErr w:type="spellStart"/>
            <w:r w:rsidRPr="0097612D">
              <w:rPr>
                <w:lang w:val="uk-UA"/>
              </w:rPr>
              <w:t>фенілкетонурію</w:t>
            </w:r>
            <w:proofErr w:type="spellEnd"/>
            <w:r w:rsidRPr="0097612D">
              <w:rPr>
                <w:lang w:val="uk-UA"/>
              </w:rPr>
              <w:t xml:space="preserve"> лікувальними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227,7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226,5</w:t>
            </w:r>
          </w:p>
        </w:tc>
      </w:tr>
      <w:tr w:rsidR="0097612D" w:rsidRPr="0097612D" w:rsidTr="002433A1">
        <w:trPr>
          <w:trHeight w:val="75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>1.4. Забезпечення безкоштовним харчуванням дітей першого року життя із малозабезпечених сімей (молочні  суміші, спеціальні продукти дитячого харчування)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0,00</w:t>
            </w:r>
          </w:p>
        </w:tc>
      </w:tr>
      <w:tr w:rsidR="0097612D" w:rsidRPr="0097612D" w:rsidTr="002433A1">
        <w:trPr>
          <w:trHeight w:val="63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 xml:space="preserve">1.5. Забезпечення хворої дитини на </w:t>
            </w:r>
            <w:proofErr w:type="spellStart"/>
            <w:r w:rsidRPr="0097612D">
              <w:rPr>
                <w:lang w:val="uk-UA"/>
              </w:rPr>
              <w:t>лейциноз</w:t>
            </w:r>
            <w:proofErr w:type="spellEnd"/>
            <w:r w:rsidRPr="0097612D">
              <w:rPr>
                <w:lang w:val="uk-UA"/>
              </w:rPr>
              <w:t xml:space="preserve"> лікувальною сумішшю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0,00</w:t>
            </w:r>
          </w:p>
        </w:tc>
      </w:tr>
      <w:tr w:rsidR="0097612D" w:rsidRPr="0097612D" w:rsidTr="002433A1">
        <w:trPr>
          <w:trHeight w:val="275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2. Забезпечення профілактики туберкульозу</w:t>
            </w:r>
          </w:p>
        </w:tc>
      </w:tr>
      <w:tr w:rsidR="0097612D" w:rsidRPr="0097612D" w:rsidTr="002433A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73,5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73,5</w:t>
            </w:r>
          </w:p>
        </w:tc>
      </w:tr>
      <w:tr w:rsidR="0097612D" w:rsidRPr="0097612D" w:rsidTr="002433A1">
        <w:trPr>
          <w:trHeight w:val="31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 xml:space="preserve">Організаційні заходи (забезпечення проведення масової </w:t>
            </w:r>
            <w:proofErr w:type="spellStart"/>
            <w:r w:rsidRPr="0097612D">
              <w:rPr>
                <w:lang w:val="uk-UA"/>
              </w:rPr>
              <w:t>туберкулінодіагностики</w:t>
            </w:r>
            <w:proofErr w:type="spellEnd"/>
            <w:r w:rsidRPr="0097612D">
              <w:rPr>
                <w:lang w:val="uk-UA"/>
              </w:rPr>
              <w:t xml:space="preserve"> серед дитячого населення)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 xml:space="preserve">2.1. Забезпечити оснащення туберкуліном та іншими витратними матеріалами для проведення масової </w:t>
            </w:r>
            <w:proofErr w:type="spellStart"/>
            <w:r w:rsidRPr="0097612D">
              <w:rPr>
                <w:lang w:val="uk-UA"/>
              </w:rPr>
              <w:t>туберкулінодіагностики</w:t>
            </w:r>
            <w:proofErr w:type="spellEnd"/>
            <w:r w:rsidRPr="0097612D">
              <w:rPr>
                <w:lang w:val="uk-UA"/>
              </w:rPr>
              <w:t xml:space="preserve"> серед дитячого населення міста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73,5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73,5</w:t>
            </w:r>
          </w:p>
        </w:tc>
      </w:tr>
      <w:tr w:rsidR="0097612D" w:rsidRPr="0097612D" w:rsidTr="002433A1">
        <w:trPr>
          <w:trHeight w:val="405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rPr>
                <w:b/>
                <w:bCs/>
                <w:lang w:val="uk-UA"/>
              </w:rPr>
            </w:pPr>
          </w:p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3. Забезпечення препаратами пацієнтів з хронічною нирковою недостатністю</w:t>
            </w:r>
          </w:p>
        </w:tc>
      </w:tr>
      <w:tr w:rsidR="0097612D" w:rsidRPr="0097612D" w:rsidTr="002433A1">
        <w:trPr>
          <w:trHeight w:val="22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310,1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285,8</w:t>
            </w:r>
          </w:p>
        </w:tc>
      </w:tr>
      <w:tr w:rsidR="0097612D" w:rsidRPr="0097612D" w:rsidTr="002433A1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lastRenderedPageBreak/>
              <w:t>Забезпечення якості лікування хворих з хронічною нирковою недостатністю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>3.1. Забезпечення препаратами пацієнтів з хронічною нирковою недостатністю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310,1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285,8</w:t>
            </w:r>
          </w:p>
        </w:tc>
      </w:tr>
      <w:tr w:rsidR="0097612D" w:rsidRPr="0097612D" w:rsidTr="002433A1">
        <w:trPr>
          <w:trHeight w:val="379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b/>
                <w:lang w:val="uk-UA"/>
              </w:rPr>
              <w:t>5</w:t>
            </w:r>
            <w:r w:rsidRPr="0097612D">
              <w:rPr>
                <w:lang w:val="uk-UA"/>
              </w:rPr>
              <w:t xml:space="preserve">. </w:t>
            </w:r>
            <w:r w:rsidRPr="0097612D">
              <w:rPr>
                <w:b/>
                <w:lang w:val="uk-UA"/>
              </w:rPr>
              <w:t>Місцеві стимули, підтримка та розвиток підприємств охорони здоров’я</w:t>
            </w:r>
          </w:p>
        </w:tc>
      </w:tr>
      <w:tr w:rsidR="0097612D" w:rsidRPr="0097612D" w:rsidTr="002433A1">
        <w:trPr>
          <w:trHeight w:val="37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612D" w:rsidRPr="0097612D" w:rsidRDefault="0097612D" w:rsidP="002433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12D" w:rsidRPr="0097612D" w:rsidRDefault="0097612D" w:rsidP="002433A1">
            <w:pPr>
              <w:jc w:val="center"/>
              <w:rPr>
                <w:b/>
                <w:lang w:val="uk-UA"/>
              </w:rPr>
            </w:pPr>
            <w:r w:rsidRPr="0097612D">
              <w:rPr>
                <w:b/>
                <w:lang w:val="uk-UA"/>
              </w:rPr>
              <w:t>481,5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12D" w:rsidRPr="0097612D" w:rsidRDefault="0097612D" w:rsidP="002433A1">
            <w:pPr>
              <w:jc w:val="center"/>
              <w:rPr>
                <w:b/>
                <w:lang w:val="uk-UA"/>
              </w:rPr>
            </w:pPr>
            <w:r w:rsidRPr="0097612D">
              <w:rPr>
                <w:b/>
                <w:lang w:val="uk-UA"/>
              </w:rPr>
              <w:t>481,4</w:t>
            </w:r>
          </w:p>
        </w:tc>
      </w:tr>
      <w:tr w:rsidR="0097612D" w:rsidRPr="0097612D" w:rsidTr="002433A1">
        <w:trPr>
          <w:trHeight w:val="37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 xml:space="preserve">Розвиток підприємств охорони здоров’я  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 xml:space="preserve">5.2. Проведення капітальних, поточних ремонтів будівель та прилеглих територій підприємств, придбання обладнання, запчастин та інше. Оформлення, виготовлення проектів, </w:t>
            </w:r>
            <w:proofErr w:type="spellStart"/>
            <w:r w:rsidRPr="0097612D">
              <w:rPr>
                <w:lang w:val="uk-UA"/>
              </w:rPr>
              <w:t>проєктно</w:t>
            </w:r>
            <w:proofErr w:type="spellEnd"/>
            <w:r w:rsidRPr="0097612D">
              <w:rPr>
                <w:lang w:val="uk-UA"/>
              </w:rPr>
              <w:t>-кошторисної та технічної документації на будівлі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481,5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481,4</w:t>
            </w:r>
          </w:p>
        </w:tc>
      </w:tr>
      <w:tr w:rsidR="0097612D" w:rsidRPr="0097612D" w:rsidTr="002433A1">
        <w:trPr>
          <w:trHeight w:val="291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6. Покращення матеріально-технічної бази закладів охорони здоров'я</w:t>
            </w:r>
          </w:p>
        </w:tc>
      </w:tr>
      <w:tr w:rsidR="0097612D" w:rsidRPr="0097612D" w:rsidTr="002433A1">
        <w:trPr>
          <w:trHeight w:val="23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3 592,3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3 314,3</w:t>
            </w:r>
          </w:p>
        </w:tc>
      </w:tr>
      <w:tr w:rsidR="0097612D" w:rsidRPr="0097612D" w:rsidTr="002433A1">
        <w:trPr>
          <w:trHeight w:val="524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  <w:r w:rsidRPr="0097612D">
              <w:rPr>
                <w:lang w:val="uk-UA"/>
              </w:rPr>
              <w:t>Покращення матеріально - технічної бази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>6.1. Забезпечення діагностичним та медичним обладнанням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0,00</w:t>
            </w:r>
          </w:p>
        </w:tc>
      </w:tr>
      <w:tr w:rsidR="0097612D" w:rsidRPr="0097612D" w:rsidTr="002433A1">
        <w:trPr>
          <w:trHeight w:val="846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 xml:space="preserve">6.2. Забезпечення предметами довгострокового використання, </w:t>
            </w:r>
            <w:proofErr w:type="spellStart"/>
            <w:r w:rsidRPr="0097612D">
              <w:rPr>
                <w:lang w:val="uk-UA"/>
              </w:rPr>
              <w:t>метеріалами</w:t>
            </w:r>
            <w:proofErr w:type="spellEnd"/>
            <w:r w:rsidRPr="0097612D">
              <w:rPr>
                <w:lang w:val="uk-UA"/>
              </w:rPr>
              <w:t>, меблями та інше; медикаментами та товарами медичного призначення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2 246,3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2 196,5</w:t>
            </w:r>
          </w:p>
        </w:tc>
      </w:tr>
      <w:tr w:rsidR="0097612D" w:rsidRPr="0097612D" w:rsidTr="002433A1">
        <w:trPr>
          <w:trHeight w:val="3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 xml:space="preserve">6.3. Оплата комунальних послуг та енергоносіїв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1 346,0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1 117,8</w:t>
            </w:r>
          </w:p>
        </w:tc>
      </w:tr>
      <w:tr w:rsidR="0097612D" w:rsidRPr="0097612D" w:rsidTr="002433A1">
        <w:trPr>
          <w:trHeight w:val="375"/>
        </w:trPr>
        <w:tc>
          <w:tcPr>
            <w:tcW w:w="10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 xml:space="preserve">7. Забезпечення проведення інших заходів у галузі охорони </w:t>
            </w:r>
            <w:proofErr w:type="spellStart"/>
            <w:r w:rsidRPr="0097612D">
              <w:rPr>
                <w:b/>
                <w:bCs/>
                <w:lang w:val="uk-UA"/>
              </w:rPr>
              <w:t>здоров</w:t>
            </w:r>
            <w:proofErr w:type="spellEnd"/>
            <w:r w:rsidRPr="0097612D">
              <w:rPr>
                <w:b/>
                <w:bCs/>
                <w:lang w:val="uk-UA"/>
              </w:rPr>
              <w:t>҆ я</w:t>
            </w:r>
          </w:p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b/>
                <w:bCs/>
                <w:lang w:val="uk-UA"/>
              </w:rPr>
              <w:t xml:space="preserve">(на випадок </w:t>
            </w:r>
            <w:proofErr w:type="spellStart"/>
            <w:r w:rsidRPr="0097612D">
              <w:rPr>
                <w:b/>
                <w:bCs/>
                <w:lang w:val="uk-UA"/>
              </w:rPr>
              <w:t>винекнення</w:t>
            </w:r>
            <w:proofErr w:type="spellEnd"/>
            <w:r w:rsidRPr="0097612D">
              <w:rPr>
                <w:b/>
                <w:bCs/>
                <w:lang w:val="uk-UA"/>
              </w:rPr>
              <w:t xml:space="preserve"> епідемії, карантину, поширення вірусу </w:t>
            </w:r>
            <w:proofErr w:type="spellStart"/>
            <w:r w:rsidRPr="0097612D">
              <w:rPr>
                <w:b/>
                <w:bCs/>
                <w:lang w:val="uk-UA"/>
              </w:rPr>
              <w:t>тошо</w:t>
            </w:r>
            <w:proofErr w:type="spellEnd"/>
            <w:r w:rsidRPr="0097612D">
              <w:rPr>
                <w:b/>
                <w:bCs/>
                <w:lang w:val="uk-UA"/>
              </w:rPr>
              <w:t>)</w:t>
            </w:r>
          </w:p>
        </w:tc>
      </w:tr>
      <w:tr w:rsidR="0097612D" w:rsidRPr="0097612D" w:rsidTr="002433A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lang w:val="uk-UA"/>
              </w:rPr>
            </w:pPr>
            <w:r w:rsidRPr="0097612D">
              <w:rPr>
                <w:b/>
                <w:lang w:val="uk-UA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b/>
                <w:lang w:val="uk-UA"/>
              </w:rPr>
            </w:pPr>
            <w:r w:rsidRPr="0097612D">
              <w:rPr>
                <w:b/>
                <w:lang w:val="uk-UA"/>
              </w:rPr>
              <w:t>0,00</w:t>
            </w:r>
          </w:p>
        </w:tc>
      </w:tr>
      <w:tr w:rsidR="0097612D" w:rsidRPr="0097612D" w:rsidTr="002433A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D" w:rsidRPr="0097612D" w:rsidRDefault="0097612D" w:rsidP="002433A1">
            <w:pPr>
              <w:rPr>
                <w:lang w:val="uk-UA"/>
              </w:rPr>
            </w:pPr>
            <w:r w:rsidRPr="0097612D">
              <w:rPr>
                <w:lang w:val="uk-UA"/>
              </w:rPr>
              <w:t xml:space="preserve">Забезпечення проведення інших заходів у галузі охорони </w:t>
            </w:r>
            <w:proofErr w:type="spellStart"/>
            <w:r w:rsidRPr="0097612D">
              <w:rPr>
                <w:lang w:val="uk-UA"/>
              </w:rPr>
              <w:t>здоров</w:t>
            </w:r>
            <w:proofErr w:type="spellEnd"/>
            <w:r w:rsidRPr="0097612D">
              <w:rPr>
                <w:lang w:val="uk-UA"/>
              </w:rPr>
              <w:t xml:space="preserve">҆ я ( на випадок </w:t>
            </w:r>
            <w:proofErr w:type="spellStart"/>
            <w:r w:rsidRPr="0097612D">
              <w:rPr>
                <w:lang w:val="uk-UA"/>
              </w:rPr>
              <w:t>винекнення</w:t>
            </w:r>
            <w:proofErr w:type="spellEnd"/>
            <w:r w:rsidRPr="0097612D">
              <w:rPr>
                <w:lang w:val="uk-UA"/>
              </w:rPr>
              <w:t xml:space="preserve"> епідемії, карантину, поширення вірусу </w:t>
            </w:r>
            <w:proofErr w:type="spellStart"/>
            <w:r w:rsidRPr="0097612D">
              <w:rPr>
                <w:lang w:val="uk-UA"/>
              </w:rPr>
              <w:t>тошо</w:t>
            </w:r>
            <w:proofErr w:type="spellEnd"/>
            <w:r w:rsidRPr="0097612D">
              <w:rPr>
                <w:lang w:val="uk-UA"/>
              </w:rPr>
              <w:t>)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2D" w:rsidRPr="0097612D" w:rsidRDefault="0097612D" w:rsidP="002433A1">
            <w:pPr>
              <w:jc w:val="both"/>
              <w:rPr>
                <w:lang w:val="uk-UA"/>
              </w:rPr>
            </w:pPr>
            <w:r w:rsidRPr="0097612D">
              <w:rPr>
                <w:lang w:val="uk-UA"/>
              </w:rPr>
              <w:t xml:space="preserve">7.1. Забезпечення засобами діагностики хвороби, патологічних процесів; необхідними медикаментами, медичним спеціальним одягом та обладнанням, </w:t>
            </w:r>
            <w:proofErr w:type="spellStart"/>
            <w:r w:rsidRPr="0097612D">
              <w:rPr>
                <w:lang w:val="uk-UA"/>
              </w:rPr>
              <w:t>дезінфікційних</w:t>
            </w:r>
            <w:proofErr w:type="spellEnd"/>
            <w:r w:rsidRPr="0097612D">
              <w:rPr>
                <w:lang w:val="uk-UA"/>
              </w:rPr>
              <w:t xml:space="preserve"> засобів та засобів індивідуального захисту медичних працівників та підозрілих осіб на хворобу, спричинену будь - яким вірусом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center"/>
              <w:rPr>
                <w:lang w:val="uk-UA"/>
              </w:rPr>
            </w:pPr>
            <w:r w:rsidRPr="0097612D">
              <w:rPr>
                <w:lang w:val="uk-UA"/>
              </w:rPr>
              <w:t>0,0</w:t>
            </w:r>
          </w:p>
        </w:tc>
      </w:tr>
      <w:tr w:rsidR="0097612D" w:rsidRPr="0097612D" w:rsidTr="002433A1">
        <w:trPr>
          <w:trHeight w:val="375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12D" w:rsidRPr="0097612D" w:rsidRDefault="0097612D" w:rsidP="002433A1">
            <w:pPr>
              <w:jc w:val="right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Усього за програмою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4 777,6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2D" w:rsidRPr="0097612D" w:rsidRDefault="0097612D" w:rsidP="002433A1">
            <w:pPr>
              <w:jc w:val="center"/>
              <w:rPr>
                <w:b/>
                <w:bCs/>
                <w:lang w:val="uk-UA"/>
              </w:rPr>
            </w:pPr>
            <w:r w:rsidRPr="0097612D">
              <w:rPr>
                <w:b/>
                <w:bCs/>
                <w:lang w:val="uk-UA"/>
              </w:rPr>
              <w:t>4 473,9</w:t>
            </w:r>
          </w:p>
        </w:tc>
      </w:tr>
    </w:tbl>
    <w:p w:rsidR="0097612D" w:rsidRPr="0097612D" w:rsidRDefault="0097612D" w:rsidP="0097612D">
      <w:pPr>
        <w:tabs>
          <w:tab w:val="left" w:pos="709"/>
        </w:tabs>
        <w:jc w:val="center"/>
        <w:rPr>
          <w:i/>
          <w:sz w:val="28"/>
          <w:szCs w:val="28"/>
          <w:u w:val="single"/>
          <w:lang w:val="uk-UA"/>
        </w:rPr>
      </w:pPr>
    </w:p>
    <w:p w:rsidR="0097612D" w:rsidRPr="0097612D" w:rsidRDefault="0097612D" w:rsidP="0097612D">
      <w:pPr>
        <w:tabs>
          <w:tab w:val="left" w:pos="709"/>
        </w:tabs>
        <w:jc w:val="center"/>
        <w:rPr>
          <w:i/>
          <w:sz w:val="28"/>
          <w:szCs w:val="28"/>
          <w:u w:val="single"/>
          <w:lang w:val="uk-UA"/>
        </w:rPr>
      </w:pPr>
      <w:r w:rsidRPr="0097612D">
        <w:rPr>
          <w:i/>
          <w:sz w:val="28"/>
          <w:szCs w:val="28"/>
          <w:u w:val="single"/>
          <w:lang w:val="uk-UA"/>
        </w:rPr>
        <w:t>Комунальне некомерційне підприємство «</w:t>
      </w:r>
      <w:proofErr w:type="spellStart"/>
      <w:r w:rsidRPr="0097612D">
        <w:rPr>
          <w:i/>
          <w:sz w:val="28"/>
          <w:szCs w:val="28"/>
          <w:u w:val="single"/>
          <w:lang w:val="uk-UA"/>
        </w:rPr>
        <w:t>Синельниківська</w:t>
      </w:r>
      <w:proofErr w:type="spellEnd"/>
      <w:r w:rsidRPr="0097612D">
        <w:rPr>
          <w:i/>
          <w:sz w:val="28"/>
          <w:szCs w:val="28"/>
          <w:u w:val="single"/>
          <w:lang w:val="uk-UA"/>
        </w:rPr>
        <w:t xml:space="preserve"> центральна міська лікарня» Синельниківської міської ради»</w:t>
      </w:r>
    </w:p>
    <w:p w:rsidR="0097612D" w:rsidRPr="0097612D" w:rsidRDefault="0097612D" w:rsidP="0097612D">
      <w:pPr>
        <w:ind w:firstLine="708"/>
        <w:jc w:val="both"/>
        <w:rPr>
          <w:b/>
          <w:sz w:val="28"/>
          <w:szCs w:val="28"/>
          <w:lang w:val="uk-UA"/>
        </w:rPr>
      </w:pPr>
    </w:p>
    <w:p w:rsidR="0097612D" w:rsidRPr="0097612D" w:rsidRDefault="0097612D" w:rsidP="0097612D">
      <w:pPr>
        <w:ind w:firstLine="708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 xml:space="preserve">5.2. Проведення капітальних, поточних ремонтів будівель та прилеглих територій підприємств. Оформлення, виготовлення </w:t>
      </w:r>
      <w:proofErr w:type="spellStart"/>
      <w:r w:rsidRPr="0097612D">
        <w:rPr>
          <w:b/>
          <w:sz w:val="28"/>
          <w:szCs w:val="28"/>
          <w:lang w:val="uk-UA"/>
        </w:rPr>
        <w:t>проєктів</w:t>
      </w:r>
      <w:proofErr w:type="spellEnd"/>
      <w:r w:rsidRPr="0097612D">
        <w:rPr>
          <w:b/>
          <w:sz w:val="28"/>
          <w:szCs w:val="28"/>
          <w:lang w:val="uk-UA"/>
        </w:rPr>
        <w:t xml:space="preserve">, </w:t>
      </w:r>
      <w:proofErr w:type="spellStart"/>
      <w:r w:rsidRPr="0097612D">
        <w:rPr>
          <w:b/>
          <w:sz w:val="28"/>
          <w:szCs w:val="28"/>
          <w:lang w:val="uk-UA"/>
        </w:rPr>
        <w:t>проєктно</w:t>
      </w:r>
      <w:proofErr w:type="spellEnd"/>
      <w:r w:rsidRPr="0097612D">
        <w:rPr>
          <w:b/>
          <w:sz w:val="28"/>
          <w:szCs w:val="28"/>
          <w:lang w:val="uk-UA"/>
        </w:rPr>
        <w:t xml:space="preserve">-кошторисної та  технічної документації на будівлі. </w:t>
      </w:r>
    </w:p>
    <w:p w:rsidR="0097612D" w:rsidRPr="0097612D" w:rsidRDefault="0097612D" w:rsidP="0097612D">
      <w:pPr>
        <w:ind w:firstLine="708"/>
        <w:jc w:val="both"/>
        <w:rPr>
          <w:bCs/>
          <w:sz w:val="28"/>
          <w:szCs w:val="28"/>
          <w:lang w:val="uk-UA"/>
        </w:rPr>
      </w:pPr>
      <w:r w:rsidRPr="0097612D">
        <w:rPr>
          <w:bCs/>
          <w:sz w:val="28"/>
          <w:szCs w:val="28"/>
          <w:lang w:val="uk-UA"/>
        </w:rPr>
        <w:t xml:space="preserve">При уточненому плані </w:t>
      </w:r>
      <w:r w:rsidRPr="0097612D">
        <w:rPr>
          <w:b/>
          <w:bCs/>
          <w:sz w:val="28"/>
          <w:szCs w:val="28"/>
          <w:lang w:val="uk-UA"/>
        </w:rPr>
        <w:t xml:space="preserve">1 881,1 </w:t>
      </w:r>
      <w:proofErr w:type="spellStart"/>
      <w:r w:rsidRPr="0097612D">
        <w:rPr>
          <w:b/>
          <w:bCs/>
          <w:sz w:val="28"/>
          <w:szCs w:val="28"/>
          <w:lang w:val="uk-UA"/>
        </w:rPr>
        <w:t>тис.грн</w:t>
      </w:r>
      <w:proofErr w:type="spellEnd"/>
      <w:r w:rsidRPr="0097612D">
        <w:rPr>
          <w:b/>
          <w:bCs/>
          <w:sz w:val="28"/>
          <w:szCs w:val="28"/>
          <w:lang w:val="uk-UA"/>
        </w:rPr>
        <w:t xml:space="preserve">. </w:t>
      </w:r>
      <w:r w:rsidRPr="0097612D">
        <w:rPr>
          <w:bCs/>
          <w:sz w:val="28"/>
          <w:szCs w:val="28"/>
          <w:lang w:val="uk-UA"/>
        </w:rPr>
        <w:t xml:space="preserve">касові видатки становили –            </w:t>
      </w:r>
      <w:r w:rsidRPr="0097612D">
        <w:rPr>
          <w:b/>
          <w:bCs/>
          <w:sz w:val="28"/>
          <w:szCs w:val="28"/>
          <w:lang w:val="uk-UA"/>
        </w:rPr>
        <w:t xml:space="preserve">585,9 </w:t>
      </w:r>
      <w:proofErr w:type="spellStart"/>
      <w:r w:rsidRPr="0097612D">
        <w:rPr>
          <w:b/>
          <w:bCs/>
          <w:sz w:val="28"/>
          <w:szCs w:val="28"/>
          <w:lang w:val="uk-UA"/>
        </w:rPr>
        <w:t>тис.грн</w:t>
      </w:r>
      <w:proofErr w:type="spellEnd"/>
      <w:r w:rsidRPr="0097612D">
        <w:rPr>
          <w:b/>
          <w:bCs/>
          <w:sz w:val="28"/>
          <w:szCs w:val="28"/>
          <w:lang w:val="uk-UA"/>
        </w:rPr>
        <w:t>.</w:t>
      </w:r>
      <w:r w:rsidRPr="0097612D">
        <w:rPr>
          <w:bCs/>
          <w:sz w:val="28"/>
          <w:szCs w:val="28"/>
          <w:lang w:val="uk-UA"/>
        </w:rPr>
        <w:t xml:space="preserve"> (програма – 3 442,5 </w:t>
      </w:r>
      <w:proofErr w:type="spellStart"/>
      <w:r w:rsidRPr="0097612D">
        <w:rPr>
          <w:bCs/>
          <w:sz w:val="28"/>
          <w:szCs w:val="28"/>
          <w:lang w:val="uk-UA"/>
        </w:rPr>
        <w:t>тис.грн</w:t>
      </w:r>
      <w:proofErr w:type="spellEnd"/>
      <w:r w:rsidRPr="0097612D">
        <w:rPr>
          <w:bCs/>
          <w:sz w:val="28"/>
          <w:szCs w:val="28"/>
          <w:lang w:val="uk-UA"/>
        </w:rPr>
        <w:t xml:space="preserve">.). Виконання заходу – </w:t>
      </w:r>
      <w:r w:rsidRPr="0097612D">
        <w:rPr>
          <w:b/>
          <w:bCs/>
          <w:sz w:val="28"/>
          <w:szCs w:val="28"/>
          <w:lang w:val="uk-UA"/>
        </w:rPr>
        <w:t>31,1%.</w:t>
      </w:r>
      <w:r w:rsidRPr="0097612D">
        <w:rPr>
          <w:bCs/>
          <w:sz w:val="28"/>
          <w:szCs w:val="28"/>
          <w:lang w:val="uk-UA"/>
        </w:rPr>
        <w:t xml:space="preserve"> </w:t>
      </w:r>
    </w:p>
    <w:p w:rsidR="0097612D" w:rsidRPr="0097612D" w:rsidRDefault="0097612D" w:rsidP="0097612D">
      <w:pPr>
        <w:ind w:firstLine="567"/>
        <w:jc w:val="both"/>
        <w:rPr>
          <w:bCs/>
          <w:sz w:val="28"/>
          <w:szCs w:val="28"/>
          <w:lang w:val="uk-UA"/>
        </w:rPr>
      </w:pPr>
      <w:r w:rsidRPr="0097612D">
        <w:rPr>
          <w:bCs/>
          <w:sz w:val="28"/>
          <w:szCs w:val="28"/>
          <w:lang w:val="uk-UA"/>
        </w:rPr>
        <w:t>Кошти спрямовані на проведення капітального ремонту частини будівлі (коридорів та сходових клітин) поліклініки міської лікарні.</w:t>
      </w:r>
    </w:p>
    <w:p w:rsidR="0097612D" w:rsidRPr="0097612D" w:rsidRDefault="0097612D" w:rsidP="0097612D">
      <w:pPr>
        <w:ind w:firstLine="567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Проведення ремонтних робіт завершено.</w:t>
      </w:r>
    </w:p>
    <w:p w:rsidR="0097612D" w:rsidRPr="0097612D" w:rsidRDefault="0097612D" w:rsidP="0097612D">
      <w:pPr>
        <w:ind w:firstLine="567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Кошти не освоєні у </w:t>
      </w:r>
      <w:proofErr w:type="spellStart"/>
      <w:r w:rsidRPr="0097612D">
        <w:rPr>
          <w:sz w:val="28"/>
          <w:szCs w:val="28"/>
          <w:lang w:val="uk-UA"/>
        </w:rPr>
        <w:t>звʹязку</w:t>
      </w:r>
      <w:proofErr w:type="spellEnd"/>
      <w:r w:rsidRPr="0097612D">
        <w:rPr>
          <w:sz w:val="28"/>
          <w:szCs w:val="28"/>
          <w:lang w:val="uk-UA"/>
        </w:rPr>
        <w:t xml:space="preserve"> з введенням воєнного стану в Україні через агресію РФ. </w:t>
      </w:r>
    </w:p>
    <w:p w:rsidR="0097612D" w:rsidRPr="0097612D" w:rsidRDefault="0097612D" w:rsidP="0097612D">
      <w:pPr>
        <w:jc w:val="both"/>
        <w:rPr>
          <w:b/>
          <w:sz w:val="28"/>
          <w:szCs w:val="28"/>
          <w:lang w:val="uk-UA"/>
        </w:rPr>
      </w:pPr>
    </w:p>
    <w:p w:rsidR="0097612D" w:rsidRPr="0097612D" w:rsidRDefault="0097612D" w:rsidP="0097612D">
      <w:pPr>
        <w:ind w:firstLine="567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>П.6.3. Оплата комунальних послуг.</w:t>
      </w:r>
    </w:p>
    <w:p w:rsidR="0097612D" w:rsidRPr="0097612D" w:rsidRDefault="0097612D" w:rsidP="0097612D">
      <w:pPr>
        <w:pStyle w:val="3"/>
        <w:tabs>
          <w:tab w:val="left" w:pos="709"/>
          <w:tab w:val="left" w:pos="5595"/>
          <w:tab w:val="left" w:pos="6210"/>
        </w:tabs>
        <w:ind w:right="-5"/>
        <w:jc w:val="both"/>
        <w:rPr>
          <w:b/>
          <w:sz w:val="28"/>
          <w:lang w:val="uk-UA"/>
        </w:rPr>
      </w:pPr>
      <w:r w:rsidRPr="0097612D">
        <w:rPr>
          <w:sz w:val="28"/>
          <w:lang w:val="uk-UA"/>
        </w:rPr>
        <w:tab/>
        <w:t xml:space="preserve">На оплату спожитих енергоносіїв передбачено програмою на 2022 рік </w:t>
      </w:r>
      <w:r w:rsidRPr="0097612D">
        <w:rPr>
          <w:b/>
          <w:sz w:val="28"/>
          <w:lang w:val="uk-UA"/>
        </w:rPr>
        <w:t xml:space="preserve">15 000,0 </w:t>
      </w:r>
      <w:proofErr w:type="spellStart"/>
      <w:r w:rsidRPr="0097612D">
        <w:rPr>
          <w:b/>
          <w:sz w:val="28"/>
          <w:lang w:val="uk-UA"/>
        </w:rPr>
        <w:t>тис.грн</w:t>
      </w:r>
      <w:proofErr w:type="spellEnd"/>
      <w:r w:rsidRPr="0097612D">
        <w:rPr>
          <w:sz w:val="28"/>
          <w:lang w:val="uk-UA"/>
        </w:rPr>
        <w:t xml:space="preserve">, спрямовано - </w:t>
      </w:r>
      <w:r w:rsidRPr="0097612D">
        <w:rPr>
          <w:b/>
          <w:sz w:val="28"/>
          <w:lang w:val="uk-UA"/>
        </w:rPr>
        <w:t xml:space="preserve">6 010,8 </w:t>
      </w:r>
      <w:proofErr w:type="spellStart"/>
      <w:r w:rsidRPr="0097612D">
        <w:rPr>
          <w:b/>
          <w:sz w:val="28"/>
          <w:lang w:val="uk-UA"/>
        </w:rPr>
        <w:t>тис.грн</w:t>
      </w:r>
      <w:proofErr w:type="spellEnd"/>
      <w:r w:rsidRPr="0097612D">
        <w:rPr>
          <w:b/>
          <w:sz w:val="28"/>
          <w:lang w:val="uk-UA"/>
        </w:rPr>
        <w:t>.</w:t>
      </w:r>
      <w:r w:rsidRPr="0097612D">
        <w:rPr>
          <w:sz w:val="28"/>
          <w:lang w:val="uk-UA"/>
        </w:rPr>
        <w:t xml:space="preserve">, з них кошти субвенції територіальних громад – </w:t>
      </w:r>
      <w:r w:rsidRPr="0097612D">
        <w:rPr>
          <w:b/>
          <w:sz w:val="28"/>
          <w:lang w:val="uk-UA"/>
        </w:rPr>
        <w:t xml:space="preserve">2 706,7 тис. грн., </w:t>
      </w:r>
      <w:r w:rsidRPr="0097612D">
        <w:rPr>
          <w:sz w:val="28"/>
          <w:lang w:val="uk-UA"/>
        </w:rPr>
        <w:t xml:space="preserve">виконання </w:t>
      </w:r>
      <w:r w:rsidRPr="0097612D">
        <w:rPr>
          <w:b/>
          <w:sz w:val="28"/>
          <w:lang w:val="uk-UA"/>
        </w:rPr>
        <w:t>– 67,3%.</w:t>
      </w:r>
    </w:p>
    <w:p w:rsidR="0097612D" w:rsidRPr="0097612D" w:rsidRDefault="0097612D" w:rsidP="0097612D">
      <w:pPr>
        <w:pStyle w:val="3"/>
        <w:tabs>
          <w:tab w:val="left" w:pos="709"/>
          <w:tab w:val="left" w:pos="5595"/>
          <w:tab w:val="left" w:pos="6210"/>
        </w:tabs>
        <w:ind w:right="-5"/>
        <w:jc w:val="both"/>
        <w:rPr>
          <w:sz w:val="28"/>
          <w:lang w:val="uk-UA"/>
        </w:rPr>
      </w:pPr>
      <w:r w:rsidRPr="0097612D">
        <w:rPr>
          <w:sz w:val="28"/>
          <w:lang w:val="uk-UA"/>
        </w:rPr>
        <w:tab/>
        <w:t>Економія склалася за рахунок фактичних витрат за спожиту електричну енергію у лютому-грудні 2022 року (0,10 грн.) за рішенням ТОВ «Дніпропетровські енергетичні мережі» на період воєнного стану в країні.</w:t>
      </w:r>
    </w:p>
    <w:p w:rsidR="0097612D" w:rsidRPr="0097612D" w:rsidRDefault="0097612D" w:rsidP="0097612D">
      <w:pPr>
        <w:ind w:firstLine="708"/>
        <w:jc w:val="both"/>
        <w:rPr>
          <w:b/>
          <w:sz w:val="28"/>
          <w:szCs w:val="28"/>
          <w:lang w:val="uk-UA"/>
        </w:rPr>
      </w:pPr>
      <w:r w:rsidRPr="0097612D">
        <w:rPr>
          <w:b/>
          <w:sz w:val="28"/>
          <w:szCs w:val="28"/>
          <w:lang w:val="uk-UA"/>
        </w:rPr>
        <w:t>9.1. Забезпечення безкоштовним зубним протезуванням пільгових категорій населення згідно законодавства, а саме: інвалідів війни, учасників бойових дій, постраждалих внаслідок Чорнобильської катастрофи 1 та 2 категорій.</w:t>
      </w:r>
    </w:p>
    <w:p w:rsidR="0097612D" w:rsidRPr="0097612D" w:rsidRDefault="0097612D" w:rsidP="0097612D">
      <w:pPr>
        <w:ind w:firstLine="709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Програмою на 2022 рік на безкоштовне зубне протезування передбачено  </w:t>
      </w:r>
      <w:r w:rsidRPr="0097612D">
        <w:rPr>
          <w:b/>
          <w:sz w:val="28"/>
          <w:szCs w:val="28"/>
          <w:lang w:val="uk-UA"/>
        </w:rPr>
        <w:t>20,0 тис. грн,</w:t>
      </w:r>
      <w:r w:rsidRPr="0097612D">
        <w:rPr>
          <w:sz w:val="28"/>
          <w:szCs w:val="28"/>
          <w:lang w:val="uk-UA"/>
        </w:rPr>
        <w:t xml:space="preserve"> затверджено на січень-грудень 2022 року </w:t>
      </w:r>
      <w:r w:rsidRPr="0097612D">
        <w:rPr>
          <w:b/>
          <w:sz w:val="28"/>
          <w:szCs w:val="28"/>
          <w:lang w:val="uk-UA"/>
        </w:rPr>
        <w:t xml:space="preserve">20,0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sz w:val="28"/>
          <w:szCs w:val="28"/>
          <w:lang w:val="uk-UA"/>
        </w:rPr>
        <w:t xml:space="preserve"> касові видатки – </w:t>
      </w:r>
      <w:r w:rsidRPr="0097612D">
        <w:rPr>
          <w:b/>
          <w:sz w:val="28"/>
          <w:szCs w:val="28"/>
          <w:lang w:val="uk-UA"/>
        </w:rPr>
        <w:t xml:space="preserve">0,00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</w:t>
      </w:r>
      <w:r w:rsidRPr="0097612D">
        <w:rPr>
          <w:sz w:val="28"/>
          <w:szCs w:val="28"/>
          <w:lang w:val="uk-UA"/>
        </w:rPr>
        <w:t>, виконання – 0,00%.</w:t>
      </w:r>
    </w:p>
    <w:p w:rsidR="0097612D" w:rsidRPr="0097612D" w:rsidRDefault="0097612D" w:rsidP="0097612D">
      <w:pPr>
        <w:ind w:firstLine="708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Кошти не освоєні через відсутність у звітному періоді звернень громадян пільгової категорії з причини введення воєнного стану.</w:t>
      </w:r>
    </w:p>
    <w:p w:rsidR="0097612D" w:rsidRPr="0097612D" w:rsidRDefault="0097612D" w:rsidP="0097612D">
      <w:pPr>
        <w:ind w:firstLine="567"/>
        <w:jc w:val="both"/>
        <w:rPr>
          <w:sz w:val="28"/>
          <w:szCs w:val="28"/>
          <w:lang w:val="uk-UA"/>
        </w:rPr>
      </w:pPr>
    </w:p>
    <w:p w:rsidR="0097612D" w:rsidRPr="0097612D" w:rsidRDefault="0097612D" w:rsidP="0097612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Таким чином, на реалізацію заходів міської програми використано </w:t>
      </w:r>
      <w:r w:rsidRPr="0097612D">
        <w:rPr>
          <w:b/>
          <w:sz w:val="28"/>
          <w:szCs w:val="28"/>
          <w:lang w:val="uk-UA"/>
        </w:rPr>
        <w:t xml:space="preserve">6 596,7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 xml:space="preserve">, в </w:t>
      </w:r>
      <w:proofErr w:type="spellStart"/>
      <w:r w:rsidRPr="0097612D">
        <w:rPr>
          <w:sz w:val="28"/>
          <w:szCs w:val="28"/>
          <w:lang w:val="uk-UA"/>
        </w:rPr>
        <w:t>т.ч</w:t>
      </w:r>
      <w:proofErr w:type="spellEnd"/>
      <w:r w:rsidRPr="0097612D">
        <w:rPr>
          <w:sz w:val="28"/>
          <w:szCs w:val="28"/>
          <w:lang w:val="uk-UA"/>
        </w:rPr>
        <w:t xml:space="preserve">. кошти загального фонду </w:t>
      </w:r>
      <w:r w:rsidRPr="0097612D">
        <w:rPr>
          <w:b/>
          <w:sz w:val="28"/>
          <w:szCs w:val="28"/>
          <w:lang w:val="uk-UA"/>
        </w:rPr>
        <w:t xml:space="preserve">6 010,8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 xml:space="preserve"> та спеціального фонду 5</w:t>
      </w:r>
      <w:r w:rsidRPr="0097612D">
        <w:rPr>
          <w:b/>
          <w:sz w:val="28"/>
          <w:szCs w:val="28"/>
          <w:lang w:val="uk-UA"/>
        </w:rPr>
        <w:t xml:space="preserve">85,9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 xml:space="preserve">., виконання – </w:t>
      </w:r>
      <w:r w:rsidRPr="0097612D">
        <w:rPr>
          <w:b/>
          <w:sz w:val="28"/>
          <w:szCs w:val="28"/>
          <w:lang w:val="uk-UA"/>
        </w:rPr>
        <w:t>60,7%.</w:t>
      </w:r>
    </w:p>
    <w:p w:rsidR="0097612D" w:rsidRPr="0097612D" w:rsidRDefault="0097612D" w:rsidP="0097612D">
      <w:pPr>
        <w:tabs>
          <w:tab w:val="left" w:pos="709"/>
        </w:tabs>
        <w:ind w:firstLine="567"/>
        <w:jc w:val="both"/>
        <w:rPr>
          <w:b/>
          <w:sz w:val="28"/>
          <w:szCs w:val="28"/>
          <w:lang w:val="uk-UA"/>
        </w:rPr>
      </w:pPr>
    </w:p>
    <w:p w:rsidR="0097612D" w:rsidRPr="0097612D" w:rsidRDefault="0097612D" w:rsidP="0097612D">
      <w:pPr>
        <w:tabs>
          <w:tab w:val="left" w:pos="709"/>
        </w:tabs>
        <w:ind w:firstLine="567"/>
        <w:jc w:val="both"/>
        <w:rPr>
          <w:b/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Всього на реалізацію заходів програми «Комплексна програма розвитку та фінансової підтримки закладів охорони здоров’я м. Синельникове на                    2020-2025 роки» із змінами та доповненнями у 2022 році передбачено                2</w:t>
      </w:r>
      <w:r w:rsidRPr="0097612D">
        <w:rPr>
          <w:b/>
          <w:sz w:val="28"/>
          <w:szCs w:val="28"/>
          <w:lang w:val="uk-UA"/>
        </w:rPr>
        <w:t xml:space="preserve">5 935,18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sz w:val="28"/>
          <w:szCs w:val="28"/>
          <w:lang w:val="uk-UA"/>
        </w:rPr>
        <w:t xml:space="preserve">, уточнений план - </w:t>
      </w:r>
      <w:r w:rsidRPr="0097612D">
        <w:rPr>
          <w:b/>
          <w:sz w:val="28"/>
          <w:szCs w:val="28"/>
          <w:lang w:val="uk-UA"/>
        </w:rPr>
        <w:t xml:space="preserve">15 646,3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,</w:t>
      </w:r>
      <w:r w:rsidRPr="0097612D">
        <w:rPr>
          <w:sz w:val="28"/>
          <w:szCs w:val="28"/>
          <w:lang w:val="uk-UA"/>
        </w:rPr>
        <w:t xml:space="preserve"> касові видатки становлять </w:t>
      </w:r>
      <w:r w:rsidRPr="0097612D">
        <w:rPr>
          <w:b/>
          <w:sz w:val="28"/>
          <w:szCs w:val="28"/>
          <w:lang w:val="uk-UA"/>
        </w:rPr>
        <w:t>11 070,6</w:t>
      </w:r>
      <w:r w:rsidRPr="0097612D">
        <w:rPr>
          <w:sz w:val="28"/>
          <w:szCs w:val="28"/>
          <w:lang w:val="uk-UA"/>
        </w:rPr>
        <w:t xml:space="preserve"> </w:t>
      </w:r>
      <w:proofErr w:type="spellStart"/>
      <w:r w:rsidRPr="0097612D">
        <w:rPr>
          <w:b/>
          <w:sz w:val="28"/>
          <w:szCs w:val="28"/>
          <w:lang w:val="uk-UA"/>
        </w:rPr>
        <w:t>тис.грн</w:t>
      </w:r>
      <w:proofErr w:type="spellEnd"/>
      <w:r w:rsidRPr="0097612D">
        <w:rPr>
          <w:b/>
          <w:sz w:val="28"/>
          <w:szCs w:val="28"/>
          <w:lang w:val="uk-UA"/>
        </w:rPr>
        <w:t>.,</w:t>
      </w:r>
      <w:r w:rsidRPr="0097612D">
        <w:rPr>
          <w:sz w:val="28"/>
          <w:szCs w:val="28"/>
          <w:lang w:val="uk-UA"/>
        </w:rPr>
        <w:t xml:space="preserve"> що становить </w:t>
      </w:r>
      <w:r w:rsidRPr="0097612D">
        <w:rPr>
          <w:b/>
          <w:sz w:val="28"/>
          <w:szCs w:val="28"/>
          <w:lang w:val="uk-UA"/>
        </w:rPr>
        <w:t>70,8%.</w:t>
      </w:r>
    </w:p>
    <w:p w:rsidR="0097612D" w:rsidRPr="0097612D" w:rsidRDefault="0097612D" w:rsidP="0097612D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12D" w:rsidRPr="0097612D" w:rsidRDefault="0097612D" w:rsidP="0097612D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12D" w:rsidRPr="0097612D" w:rsidRDefault="0097612D" w:rsidP="0097612D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12D" w:rsidRPr="0097612D" w:rsidRDefault="0097612D" w:rsidP="0097612D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12D" w:rsidRPr="0097612D" w:rsidRDefault="0097612D" w:rsidP="0097612D">
      <w:pPr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 xml:space="preserve">Начальник відділу </w:t>
      </w:r>
    </w:p>
    <w:p w:rsidR="0097612D" w:rsidRPr="0097612D" w:rsidRDefault="0097612D" w:rsidP="0097612D">
      <w:pPr>
        <w:jc w:val="both"/>
        <w:rPr>
          <w:sz w:val="28"/>
          <w:szCs w:val="28"/>
          <w:lang w:val="uk-UA"/>
        </w:rPr>
      </w:pPr>
      <w:r w:rsidRPr="0097612D">
        <w:rPr>
          <w:sz w:val="28"/>
          <w:szCs w:val="28"/>
          <w:lang w:val="uk-UA"/>
        </w:rPr>
        <w:t>охорони здоров'я міської ради</w:t>
      </w: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</w:r>
      <w:r w:rsidRPr="0097612D">
        <w:rPr>
          <w:sz w:val="28"/>
          <w:szCs w:val="28"/>
          <w:lang w:val="uk-UA"/>
        </w:rPr>
        <w:tab/>
        <w:t>Людмила РЕУТОВА</w:t>
      </w:r>
    </w:p>
    <w:sectPr w:rsidR="0097612D" w:rsidRPr="0097612D" w:rsidSect="00CA65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6D43"/>
    <w:multiLevelType w:val="hybridMultilevel"/>
    <w:tmpl w:val="C0FAC60C"/>
    <w:lvl w:ilvl="0" w:tplc="8BEA056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B823CA"/>
    <w:multiLevelType w:val="hybridMultilevel"/>
    <w:tmpl w:val="E1029172"/>
    <w:lvl w:ilvl="0" w:tplc="D2BC0BB0">
      <w:start w:val="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ED54F3"/>
    <w:multiLevelType w:val="hybridMultilevel"/>
    <w:tmpl w:val="9D78A5DC"/>
    <w:lvl w:ilvl="0" w:tplc="C90EBF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F81E74"/>
    <w:multiLevelType w:val="hybridMultilevel"/>
    <w:tmpl w:val="BB403A2A"/>
    <w:lvl w:ilvl="0" w:tplc="DF4C0D7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221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1C0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9F0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412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21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57"/>
    <w:rsid w:val="0014609C"/>
    <w:rsid w:val="00146235"/>
    <w:rsid w:val="00146362"/>
    <w:rsid w:val="00146528"/>
    <w:rsid w:val="00146647"/>
    <w:rsid w:val="00146B77"/>
    <w:rsid w:val="00146C5E"/>
    <w:rsid w:val="00146CD0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A4F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894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67A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5F40"/>
    <w:rsid w:val="00206068"/>
    <w:rsid w:val="00206492"/>
    <w:rsid w:val="00206685"/>
    <w:rsid w:val="002070F5"/>
    <w:rsid w:val="00207393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742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0F1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B60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65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EE8"/>
    <w:rsid w:val="002D2F71"/>
    <w:rsid w:val="002D34C2"/>
    <w:rsid w:val="002D37D6"/>
    <w:rsid w:val="002D3823"/>
    <w:rsid w:val="002D3B55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2F7ECB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02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7D6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854"/>
    <w:rsid w:val="0039099C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0B3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8D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D63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46E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5C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5B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147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AD4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6F8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03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152"/>
    <w:rsid w:val="004A0267"/>
    <w:rsid w:val="004A0557"/>
    <w:rsid w:val="004A065C"/>
    <w:rsid w:val="004A07AD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3AE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4C"/>
    <w:rsid w:val="004D25D9"/>
    <w:rsid w:val="004D2A00"/>
    <w:rsid w:val="004D30BE"/>
    <w:rsid w:val="004D3638"/>
    <w:rsid w:val="004D38D0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6D32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6F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1E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9B1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7A4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4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77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28A"/>
    <w:rsid w:val="00554466"/>
    <w:rsid w:val="0055455B"/>
    <w:rsid w:val="00554789"/>
    <w:rsid w:val="00554B19"/>
    <w:rsid w:val="00554B3F"/>
    <w:rsid w:val="00554E50"/>
    <w:rsid w:val="00555042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0ED"/>
    <w:rsid w:val="005571D0"/>
    <w:rsid w:val="00557272"/>
    <w:rsid w:val="005574CF"/>
    <w:rsid w:val="005575AD"/>
    <w:rsid w:val="00557BD9"/>
    <w:rsid w:val="005600A7"/>
    <w:rsid w:val="00560102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6AA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8E6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4D9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6DF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703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11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951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94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5E"/>
    <w:rsid w:val="005B5BE7"/>
    <w:rsid w:val="005B5D4C"/>
    <w:rsid w:val="005B6087"/>
    <w:rsid w:val="005B656B"/>
    <w:rsid w:val="005B66B0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727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1D2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431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8EE"/>
    <w:rsid w:val="00600B21"/>
    <w:rsid w:val="00600D15"/>
    <w:rsid w:val="0060126D"/>
    <w:rsid w:val="00601277"/>
    <w:rsid w:val="00601450"/>
    <w:rsid w:val="00601639"/>
    <w:rsid w:val="006018E8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98A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8E7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34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82C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5F0D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D8B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B8B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37A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77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B92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10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4B"/>
    <w:rsid w:val="006D006E"/>
    <w:rsid w:val="006D021F"/>
    <w:rsid w:val="006D03B8"/>
    <w:rsid w:val="006D04C8"/>
    <w:rsid w:val="006D05C2"/>
    <w:rsid w:val="006D07F7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C8A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3BA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1DAC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99F"/>
    <w:rsid w:val="00720A89"/>
    <w:rsid w:val="00720B73"/>
    <w:rsid w:val="00720C5E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33E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591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A89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ACD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04B"/>
    <w:rsid w:val="008273E5"/>
    <w:rsid w:val="00827671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C78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27C"/>
    <w:rsid w:val="008A53B9"/>
    <w:rsid w:val="008A542D"/>
    <w:rsid w:val="008A5BDB"/>
    <w:rsid w:val="008A5DA9"/>
    <w:rsid w:val="008A5E6F"/>
    <w:rsid w:val="008A5FCD"/>
    <w:rsid w:val="008A5FF8"/>
    <w:rsid w:val="008A60BD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95E"/>
    <w:rsid w:val="008F4C70"/>
    <w:rsid w:val="008F4DAC"/>
    <w:rsid w:val="008F4F64"/>
    <w:rsid w:val="008F501E"/>
    <w:rsid w:val="008F5117"/>
    <w:rsid w:val="008F52FE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0AB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12D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2C41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EDB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877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05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5F93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356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0E7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41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4CC"/>
    <w:rsid w:val="00A14721"/>
    <w:rsid w:val="00A14833"/>
    <w:rsid w:val="00A149A1"/>
    <w:rsid w:val="00A14ACB"/>
    <w:rsid w:val="00A14E04"/>
    <w:rsid w:val="00A14FE8"/>
    <w:rsid w:val="00A1501D"/>
    <w:rsid w:val="00A15037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331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B7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0F7"/>
    <w:rsid w:val="00A6712A"/>
    <w:rsid w:val="00A67165"/>
    <w:rsid w:val="00A67441"/>
    <w:rsid w:val="00A675B5"/>
    <w:rsid w:val="00A676E2"/>
    <w:rsid w:val="00A678B0"/>
    <w:rsid w:val="00A679BF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610"/>
    <w:rsid w:val="00A71D84"/>
    <w:rsid w:val="00A720CD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B13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661F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A3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DBF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84E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91E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078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1FE1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2F03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186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6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497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5217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9D5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519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60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BB9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8D4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CD4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A74"/>
    <w:rsid w:val="00D01E72"/>
    <w:rsid w:val="00D01FF2"/>
    <w:rsid w:val="00D02677"/>
    <w:rsid w:val="00D02AA3"/>
    <w:rsid w:val="00D02C27"/>
    <w:rsid w:val="00D02E0A"/>
    <w:rsid w:val="00D034AD"/>
    <w:rsid w:val="00D03D43"/>
    <w:rsid w:val="00D03F03"/>
    <w:rsid w:val="00D03FFA"/>
    <w:rsid w:val="00D0401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039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27C9A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A57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7F4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630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C3D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ABC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18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CE9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14C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32F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94B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05B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7D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21B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B33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8EA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C2B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7D2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2EBF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67F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09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456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B7C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59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DAE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6A02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1A8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CFD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0BC"/>
    <w:rsid w:val="00FB6394"/>
    <w:rsid w:val="00FB6DB6"/>
    <w:rsid w:val="00FB6E4E"/>
    <w:rsid w:val="00FB723C"/>
    <w:rsid w:val="00FB74A0"/>
    <w:rsid w:val="00FB74C4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74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4ECD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3F5F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3AC"/>
    <w:rsid w:val="00FF65F3"/>
    <w:rsid w:val="00FF675C"/>
    <w:rsid w:val="00FF69F1"/>
    <w:rsid w:val="00FF6ADE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367A"/>
    <w:rPr>
      <w:rFonts w:ascii="Bookman Old Style" w:eastAsia="Calibri" w:hAnsi="Bookman Old Style"/>
      <w:sz w:val="26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9C5877"/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761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7612D"/>
    <w:rPr>
      <w:rFonts w:eastAsia="Times New Roman"/>
      <w:sz w:val="16"/>
      <w:szCs w:val="16"/>
    </w:rPr>
  </w:style>
  <w:style w:type="paragraph" w:styleId="a5">
    <w:name w:val="List Paragraph"/>
    <w:basedOn w:val="a"/>
    <w:uiPriority w:val="34"/>
    <w:qFormat/>
    <w:rsid w:val="00976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97612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7612D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97612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761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426A-6FDF-4728-B19F-36CC8F8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100</cp:revision>
  <cp:lastPrinted>2022-10-11T08:22:00Z</cp:lastPrinted>
  <dcterms:created xsi:type="dcterms:W3CDTF">2016-01-29T11:28:00Z</dcterms:created>
  <dcterms:modified xsi:type="dcterms:W3CDTF">2023-02-16T11:43:00Z</dcterms:modified>
</cp:coreProperties>
</file>