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7B" w:rsidRPr="00CA307B" w:rsidRDefault="00CA307B" w:rsidP="00CA30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bookmarkStart w:id="0" w:name="_GoBack"/>
      <w:bookmarkEnd w:id="0"/>
      <w:r w:rsidRPr="00CA307B">
        <w:rPr>
          <w:rFonts w:ascii="Times New Roman" w:hAnsi="Times New Roman" w:cs="Times New Roman"/>
          <w:b/>
          <w:bCs/>
          <w:sz w:val="32"/>
          <w:szCs w:val="32"/>
          <w:lang w:val="uk-UA"/>
        </w:rPr>
        <w:t>Р І Ш Е Н Н Я</w:t>
      </w:r>
    </w:p>
    <w:p w:rsidR="00CA307B" w:rsidRPr="00CA307B" w:rsidRDefault="00CA307B" w:rsidP="00CA307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CA307B" w:rsidRPr="00CA307B" w:rsidRDefault="00CA307B" w:rsidP="00CA307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CA307B">
        <w:rPr>
          <w:rFonts w:ascii="Times New Roman" w:hAnsi="Times New Roman" w:cs="Times New Roman"/>
          <w:bCs/>
          <w:sz w:val="26"/>
          <w:szCs w:val="26"/>
          <w:lang w:val="uk-UA"/>
        </w:rPr>
        <w:t>13 грудня 2022 року</w:t>
      </w:r>
      <w:r w:rsidRPr="00CA307B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CA307B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м. Синельникове</w:t>
      </w:r>
      <w:r w:rsidRPr="00CA307B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CA307B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CA307B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324</w:t>
      </w:r>
      <w:r w:rsidRPr="00CA307B">
        <w:rPr>
          <w:rFonts w:ascii="Times New Roman" w:hAnsi="Times New Roman" w:cs="Times New Roman"/>
          <w:bCs/>
          <w:sz w:val="26"/>
          <w:szCs w:val="26"/>
          <w:lang w:val="uk-UA"/>
        </w:rPr>
        <w:t>/0/8-22</w:t>
      </w:r>
    </w:p>
    <w:p w:rsidR="00CA307B" w:rsidRPr="00CA307B" w:rsidRDefault="00CA307B" w:rsidP="00CA3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307B" w:rsidRPr="00CA307B" w:rsidRDefault="00293E3B" w:rsidP="00CA3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3E3B">
        <w:rPr>
          <w:rFonts w:ascii="Times New Roman" w:hAnsi="Times New Roman" w:cs="Times New Roman"/>
          <w:noProof/>
        </w:rPr>
        <w:pict>
          <v:line id="_x0000_s1139" style="position:absolute;left:0;text-align:left;z-index:251662336" from="207.35pt,2.85pt" to="207.35pt,9.65pt"/>
        </w:pict>
      </w:r>
      <w:r w:rsidRPr="00293E3B">
        <w:rPr>
          <w:rFonts w:ascii="Times New Roman" w:hAnsi="Times New Roman" w:cs="Times New Roman"/>
          <w:noProof/>
        </w:rPr>
        <w:pict>
          <v:line id="_x0000_s1137" style="position:absolute;left:0;text-align:left;z-index:251660288" from=".3pt,2.75pt" to="7.1pt,2.75pt"/>
        </w:pict>
      </w:r>
      <w:r w:rsidRPr="00293E3B">
        <w:rPr>
          <w:rFonts w:ascii="Times New Roman" w:hAnsi="Times New Roman" w:cs="Times New Roman"/>
          <w:noProof/>
        </w:rPr>
        <w:pict>
          <v:line id="_x0000_s1138" style="position:absolute;left:0;text-align:left;z-index:251661312" from="200.45pt,2.7pt" to="207.25pt,2.7pt"/>
        </w:pict>
      </w:r>
      <w:r w:rsidRPr="00293E3B">
        <w:rPr>
          <w:rFonts w:ascii="Times New Roman" w:hAnsi="Times New Roman" w:cs="Times New Roman"/>
          <w:noProof/>
        </w:rPr>
        <w:pict>
          <v:line id="_x0000_s1136" style="position:absolute;left:0;text-align:left;z-index:251659264" from=".3pt,2.85pt" to=".3pt,9.65pt"/>
        </w:pict>
      </w:r>
    </w:p>
    <w:p w:rsidR="00920001" w:rsidRPr="00920001" w:rsidRDefault="00920001" w:rsidP="009200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2000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встановлення тарифів </w:t>
      </w:r>
    </w:p>
    <w:p w:rsidR="00920001" w:rsidRPr="00920001" w:rsidRDefault="00920001" w:rsidP="009200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20001">
        <w:rPr>
          <w:rFonts w:ascii="Times New Roman" w:hAnsi="Times New Roman" w:cs="Times New Roman"/>
          <w:b/>
          <w:i/>
          <w:sz w:val="28"/>
          <w:szCs w:val="28"/>
          <w:lang w:val="uk-UA"/>
        </w:rPr>
        <w:t>на платні послуги, які можуть</w:t>
      </w:r>
    </w:p>
    <w:p w:rsidR="00920001" w:rsidRPr="00920001" w:rsidRDefault="00920001" w:rsidP="009200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2000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надаватись комунальним </w:t>
      </w:r>
    </w:p>
    <w:p w:rsidR="00920001" w:rsidRPr="00920001" w:rsidRDefault="00920001" w:rsidP="009200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2000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некомерційним підприємством </w:t>
      </w:r>
    </w:p>
    <w:p w:rsidR="00920001" w:rsidRPr="00920001" w:rsidRDefault="00920001" w:rsidP="009200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20001">
        <w:rPr>
          <w:rFonts w:ascii="Times New Roman" w:hAnsi="Times New Roman" w:cs="Times New Roman"/>
          <w:b/>
          <w:i/>
          <w:sz w:val="28"/>
          <w:szCs w:val="28"/>
          <w:lang w:val="uk-UA"/>
        </w:rPr>
        <w:t>«Синельниківська центральна</w:t>
      </w:r>
    </w:p>
    <w:p w:rsidR="00920001" w:rsidRPr="00920001" w:rsidRDefault="00920001" w:rsidP="009200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20001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міська лікарня»</w:t>
      </w:r>
    </w:p>
    <w:p w:rsidR="00920001" w:rsidRPr="00920001" w:rsidRDefault="00920001" w:rsidP="009200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20001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Синельниківської міської ради»</w:t>
      </w:r>
    </w:p>
    <w:p w:rsidR="00920001" w:rsidRPr="00920001" w:rsidRDefault="00920001" w:rsidP="0092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001" w:rsidRPr="00920001" w:rsidRDefault="003500C5" w:rsidP="00CA30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920001" w:rsidRPr="00920001">
        <w:rPr>
          <w:rFonts w:ascii="Times New Roman" w:hAnsi="Times New Roman" w:cs="Times New Roman"/>
          <w:sz w:val="28"/>
          <w:szCs w:val="28"/>
          <w:lang w:val="uk-UA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920001" w:rsidRPr="00920001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12 травня 2022 року №2259-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920001" w:rsidRPr="00920001">
        <w:rPr>
          <w:rFonts w:ascii="Times New Roman" w:hAnsi="Times New Roman" w:cs="Times New Roman"/>
          <w:sz w:val="28"/>
          <w:szCs w:val="28"/>
          <w:lang w:val="uk-UA"/>
        </w:rPr>
        <w:t>«Про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деяких законів України щодо функціонування державної служби та місцевого самоврядування у період дії воєнного стану»</w:t>
      </w:r>
      <w:r w:rsidR="00920001" w:rsidRPr="00920001">
        <w:rPr>
          <w:rFonts w:ascii="Times New Roman" w:hAnsi="Times New Roman" w:cs="Times New Roman"/>
          <w:sz w:val="28"/>
          <w:szCs w:val="28"/>
          <w:lang w:val="uk-UA"/>
        </w:rPr>
        <w:t>, відповідно до постанов Кабінету Міністрів України від 17.09.1996 №1138 «Про затвердження Переліку платних послуг, які надаються в державних і комунальних закладах охорони здоров’я та вищих медичних закладах освіти» (із змінами та доповненнями) та керуючись п.п.2, п. «а», ст. 28 Закону України «Про місцеве самоврядування в Україні», розглянувши звернення комунального некомерційного підприємства «Синельниківська центральна міська лікарня» Синел</w:t>
      </w:r>
      <w:r w:rsidR="00A87A62">
        <w:rPr>
          <w:rFonts w:ascii="Times New Roman" w:hAnsi="Times New Roman" w:cs="Times New Roman"/>
          <w:sz w:val="28"/>
          <w:szCs w:val="28"/>
          <w:lang w:val="uk-UA"/>
        </w:rPr>
        <w:t>ьниківської міської ради» від 07</w:t>
      </w:r>
      <w:r w:rsidR="00611B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87A62">
        <w:rPr>
          <w:rFonts w:ascii="Times New Roman" w:hAnsi="Times New Roman" w:cs="Times New Roman"/>
          <w:sz w:val="28"/>
          <w:szCs w:val="28"/>
          <w:lang w:val="uk-UA"/>
        </w:rPr>
        <w:t>12.2022 №658</w:t>
      </w:r>
      <w:r w:rsidR="00920001" w:rsidRPr="00920001">
        <w:rPr>
          <w:rFonts w:ascii="Times New Roman" w:hAnsi="Times New Roman" w:cs="Times New Roman"/>
          <w:sz w:val="28"/>
          <w:szCs w:val="28"/>
          <w:lang w:val="uk-UA"/>
        </w:rPr>
        <w:t xml:space="preserve"> щодо затвердження тарифів на платні медичні послуги, виконавчий комітет Синельниківської міської ради ВИРІШИВ:</w:t>
      </w:r>
    </w:p>
    <w:p w:rsidR="00920001" w:rsidRPr="00920001" w:rsidRDefault="00920001" w:rsidP="00CA30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001" w:rsidRPr="00920001" w:rsidRDefault="00920001" w:rsidP="00CA30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001">
        <w:rPr>
          <w:rFonts w:ascii="Times New Roman" w:hAnsi="Times New Roman" w:cs="Times New Roman"/>
          <w:sz w:val="28"/>
          <w:szCs w:val="28"/>
          <w:lang w:val="uk-UA"/>
        </w:rPr>
        <w:t>1. Встановити тарифи на платні медичні послуги, які можуть надаватись комунальним некомерційним підприємством «Синельниківська центральна міська лікарня» Синельниківської міської ради», згідно з додатком.</w:t>
      </w:r>
    </w:p>
    <w:p w:rsidR="00920001" w:rsidRPr="00920001" w:rsidRDefault="00A87A62" w:rsidP="00CA30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Головному лікарю</w:t>
      </w:r>
      <w:r w:rsidR="00920001" w:rsidRPr="00920001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некомерційного підприємства «Синельниківська центральна міська лікарня» Синельниківської міської ради» Довганю П.В.:</w:t>
      </w:r>
    </w:p>
    <w:p w:rsidR="00920001" w:rsidRPr="00920001" w:rsidRDefault="00920001" w:rsidP="00CA30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001">
        <w:rPr>
          <w:rFonts w:ascii="Times New Roman" w:hAnsi="Times New Roman" w:cs="Times New Roman"/>
          <w:sz w:val="28"/>
          <w:szCs w:val="28"/>
          <w:lang w:val="uk-UA"/>
        </w:rPr>
        <w:t>2.1. Надавати платні медичні послуг</w:t>
      </w:r>
      <w:r w:rsidR="00A87A62">
        <w:rPr>
          <w:rFonts w:ascii="Times New Roman" w:hAnsi="Times New Roman" w:cs="Times New Roman"/>
          <w:sz w:val="28"/>
          <w:szCs w:val="28"/>
          <w:lang w:val="uk-UA"/>
        </w:rPr>
        <w:t>и населенню міста Синельникове</w:t>
      </w:r>
      <w:r w:rsidRPr="0092000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чинного законодавства.</w:t>
      </w:r>
    </w:p>
    <w:p w:rsidR="00920001" w:rsidRPr="00920001" w:rsidRDefault="00920001" w:rsidP="00CA30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001">
        <w:rPr>
          <w:rFonts w:ascii="Times New Roman" w:hAnsi="Times New Roman" w:cs="Times New Roman"/>
          <w:sz w:val="28"/>
          <w:szCs w:val="28"/>
          <w:lang w:val="uk-UA"/>
        </w:rPr>
        <w:t>2.2. Довести інформацію про платні медичні послуги, які можуть надаватись комунальним некомерційним підприємством «Синельниківська центральна міська лікарня» Синельниківської міської ради»</w:t>
      </w:r>
      <w:r w:rsidR="00264C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20001">
        <w:rPr>
          <w:rFonts w:ascii="Times New Roman" w:hAnsi="Times New Roman" w:cs="Times New Roman"/>
          <w:sz w:val="28"/>
          <w:szCs w:val="28"/>
          <w:lang w:val="uk-UA"/>
        </w:rPr>
        <w:t xml:space="preserve"> та тарифи на них до відома населення мі</w:t>
      </w:r>
      <w:r w:rsidR="00A87A62">
        <w:rPr>
          <w:rFonts w:ascii="Times New Roman" w:hAnsi="Times New Roman" w:cs="Times New Roman"/>
          <w:sz w:val="28"/>
          <w:szCs w:val="28"/>
          <w:lang w:val="uk-UA"/>
        </w:rPr>
        <w:t>ста Синельникове</w:t>
      </w:r>
      <w:r w:rsidRPr="00920001">
        <w:rPr>
          <w:rFonts w:ascii="Times New Roman" w:hAnsi="Times New Roman" w:cs="Times New Roman"/>
          <w:sz w:val="28"/>
          <w:szCs w:val="28"/>
          <w:lang w:val="uk-UA"/>
        </w:rPr>
        <w:t xml:space="preserve"> через засоби масової інформації та розмістити її на інформаційних стендах закладу (приміщення поліклініки, відділень лікарні та ін.).</w:t>
      </w:r>
    </w:p>
    <w:p w:rsidR="00920001" w:rsidRPr="00920001" w:rsidRDefault="00920001" w:rsidP="00CA30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001">
        <w:rPr>
          <w:rFonts w:ascii="Times New Roman" w:hAnsi="Times New Roman" w:cs="Times New Roman"/>
          <w:sz w:val="28"/>
          <w:szCs w:val="28"/>
          <w:lang w:val="uk-UA"/>
        </w:rPr>
        <w:t>3. Рішення виконавч</w:t>
      </w:r>
      <w:r w:rsidR="00A87A62">
        <w:rPr>
          <w:rFonts w:ascii="Times New Roman" w:hAnsi="Times New Roman" w:cs="Times New Roman"/>
          <w:sz w:val="28"/>
          <w:szCs w:val="28"/>
          <w:lang w:val="uk-UA"/>
        </w:rPr>
        <w:t>ого комітету міської ради від 10</w:t>
      </w:r>
      <w:r w:rsidR="00611B5F">
        <w:rPr>
          <w:rFonts w:ascii="Times New Roman" w:hAnsi="Times New Roman" w:cs="Times New Roman"/>
          <w:sz w:val="28"/>
          <w:szCs w:val="28"/>
          <w:lang w:val="uk-UA"/>
        </w:rPr>
        <w:t>.03.202</w:t>
      </w:r>
      <w:r w:rsidR="00A87A62">
        <w:rPr>
          <w:rFonts w:ascii="Times New Roman" w:hAnsi="Times New Roman" w:cs="Times New Roman"/>
          <w:sz w:val="28"/>
          <w:szCs w:val="28"/>
          <w:lang w:val="uk-UA"/>
        </w:rPr>
        <w:t>2 №86/0/8-22</w:t>
      </w:r>
      <w:r w:rsidRPr="00920001">
        <w:rPr>
          <w:rFonts w:ascii="Times New Roman" w:hAnsi="Times New Roman" w:cs="Times New Roman"/>
          <w:sz w:val="28"/>
          <w:szCs w:val="28"/>
          <w:lang w:val="uk-UA"/>
        </w:rPr>
        <w:t xml:space="preserve"> «Про встановлення тарифів на платні послуги, які можуть надаватись комунальним некомерційним підприємством «Синельниківська центральна міська лікарня» Синельниківської міської ради» вважати таким, що втратило чинність.</w:t>
      </w:r>
    </w:p>
    <w:p w:rsidR="00920001" w:rsidRPr="00920001" w:rsidRDefault="00920001" w:rsidP="00CA30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001">
        <w:rPr>
          <w:rFonts w:ascii="Times New Roman" w:hAnsi="Times New Roman" w:cs="Times New Roman"/>
          <w:sz w:val="28"/>
          <w:szCs w:val="28"/>
          <w:lang w:val="uk-UA"/>
        </w:rPr>
        <w:lastRenderedPageBreak/>
        <w:t>4. Організацію роботи по виконанню рішення доручити відділу соціально-економічного розвитку міської ради (Купрін), відділу охорони здоров'я міської ради (Реутова</w:t>
      </w:r>
      <w:r w:rsidR="00264C4E">
        <w:rPr>
          <w:rFonts w:ascii="Times New Roman" w:hAnsi="Times New Roman" w:cs="Times New Roman"/>
          <w:sz w:val="28"/>
          <w:szCs w:val="28"/>
          <w:lang w:val="uk-UA"/>
        </w:rPr>
        <w:t>), контроль – першому заступникові</w:t>
      </w:r>
      <w:r w:rsidRPr="00920001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  <w:r w:rsidR="00264C4E">
        <w:rPr>
          <w:rFonts w:ascii="Times New Roman" w:hAnsi="Times New Roman" w:cs="Times New Roman"/>
          <w:sz w:val="28"/>
          <w:szCs w:val="28"/>
          <w:lang w:val="uk-UA"/>
        </w:rPr>
        <w:t>,заступникові</w:t>
      </w:r>
      <w:r w:rsidR="00264C4E" w:rsidRPr="00920001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з питань діяльності виконавчих органів міської ради</w:t>
      </w:r>
      <w:r w:rsidR="00264C4E">
        <w:rPr>
          <w:rFonts w:ascii="Times New Roman" w:hAnsi="Times New Roman" w:cs="Times New Roman"/>
          <w:sz w:val="28"/>
          <w:szCs w:val="28"/>
          <w:lang w:val="uk-UA"/>
        </w:rPr>
        <w:t xml:space="preserve"> Кравченку В.В.</w:t>
      </w:r>
    </w:p>
    <w:p w:rsidR="00920001" w:rsidRPr="00920001" w:rsidRDefault="00920001" w:rsidP="00CA30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001" w:rsidRPr="00920001" w:rsidRDefault="00920001" w:rsidP="0092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001" w:rsidRDefault="00920001" w:rsidP="0092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C4E" w:rsidRPr="00920001" w:rsidRDefault="00264C4E" w:rsidP="0092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001" w:rsidRDefault="00611B5F" w:rsidP="0092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Дмитро </w:t>
      </w:r>
      <w:r w:rsidR="00920001" w:rsidRPr="00920001">
        <w:rPr>
          <w:rFonts w:ascii="Times New Roman" w:hAnsi="Times New Roman" w:cs="Times New Roman"/>
          <w:sz w:val="28"/>
          <w:szCs w:val="28"/>
          <w:lang w:val="uk-UA"/>
        </w:rPr>
        <w:t>ЗРАЖЕВСЬКИЙ</w:t>
      </w:r>
    </w:p>
    <w:p w:rsidR="00432200" w:rsidRDefault="00432200" w:rsidP="0092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200" w:rsidRDefault="00432200" w:rsidP="0092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200" w:rsidRDefault="00432200" w:rsidP="0092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200" w:rsidRDefault="00432200" w:rsidP="0092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200" w:rsidRDefault="00432200" w:rsidP="0092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200" w:rsidRDefault="00432200" w:rsidP="0092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200" w:rsidRDefault="00432200" w:rsidP="0092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200" w:rsidRDefault="00432200" w:rsidP="0092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200" w:rsidRDefault="00432200" w:rsidP="0092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200" w:rsidRDefault="00432200" w:rsidP="0092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200" w:rsidRDefault="00432200" w:rsidP="0092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200" w:rsidRDefault="00432200" w:rsidP="0092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200" w:rsidRDefault="00432200" w:rsidP="0092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200" w:rsidRDefault="00432200" w:rsidP="0092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200" w:rsidRDefault="00432200" w:rsidP="0092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200" w:rsidRDefault="00432200" w:rsidP="0092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200" w:rsidRDefault="00432200" w:rsidP="0092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200" w:rsidRDefault="00432200" w:rsidP="0092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200" w:rsidRDefault="00432200" w:rsidP="0092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200" w:rsidRDefault="00432200" w:rsidP="0092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200" w:rsidRDefault="00432200" w:rsidP="0092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200" w:rsidRDefault="00432200" w:rsidP="0092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200" w:rsidRDefault="00432200" w:rsidP="0092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200" w:rsidRDefault="00432200" w:rsidP="0092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200" w:rsidRDefault="00432200" w:rsidP="0092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200" w:rsidRDefault="00432200" w:rsidP="0092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200" w:rsidRDefault="00432200" w:rsidP="0092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200" w:rsidRDefault="00432200" w:rsidP="0092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200" w:rsidRDefault="00432200" w:rsidP="0092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200" w:rsidRDefault="00432200" w:rsidP="0092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200" w:rsidRDefault="00432200" w:rsidP="0092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200" w:rsidRDefault="00432200" w:rsidP="0092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200" w:rsidRDefault="00432200" w:rsidP="0092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200" w:rsidRDefault="00432200" w:rsidP="0092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200" w:rsidRDefault="00432200" w:rsidP="0092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200" w:rsidRDefault="00432200" w:rsidP="0092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030" w:type="dxa"/>
        <w:tblInd w:w="-176" w:type="dxa"/>
        <w:tblLook w:val="04A0"/>
      </w:tblPr>
      <w:tblGrid>
        <w:gridCol w:w="762"/>
        <w:gridCol w:w="379"/>
        <w:gridCol w:w="7273"/>
        <w:gridCol w:w="1616"/>
      </w:tblGrid>
      <w:tr w:rsidR="00432200" w:rsidRPr="00432200" w:rsidTr="00432200">
        <w:trPr>
          <w:trHeight w:val="37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Додаток 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2200" w:rsidRPr="00432200" w:rsidTr="00432200">
        <w:trPr>
          <w:trHeight w:val="37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до </w:t>
            </w:r>
            <w:proofErr w:type="gramStart"/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 виконавчого</w:t>
            </w:r>
          </w:p>
        </w:tc>
      </w:tr>
      <w:tr w:rsidR="00432200" w:rsidRPr="00432200" w:rsidTr="00432200">
        <w:trPr>
          <w:trHeight w:val="37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комітету  міської  </w:t>
            </w:r>
            <w:proofErr w:type="gramStart"/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432200" w:rsidRPr="00432200" w:rsidTr="00432200">
        <w:trPr>
          <w:trHeight w:val="37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13.12.2022 №324/0/8-22</w:t>
            </w:r>
          </w:p>
        </w:tc>
      </w:tr>
      <w:tr w:rsidR="00432200" w:rsidRPr="00432200" w:rsidTr="00432200">
        <w:trPr>
          <w:trHeight w:val="375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200" w:rsidRPr="00432200" w:rsidRDefault="00432200" w:rsidP="0043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Прейскурант ці</w:t>
            </w: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платні медичні послуги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200" w:rsidRPr="00432200" w:rsidTr="00432200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200" w:rsidRPr="00432200" w:rsidRDefault="00432200" w:rsidP="0043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200" w:rsidRPr="00432200" w:rsidTr="00432200">
        <w:trPr>
          <w:trHeight w:val="230"/>
        </w:trPr>
        <w:tc>
          <w:tcPr>
            <w:tcW w:w="11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з/</w:t>
            </w: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2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Найменування платної медичної послуги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Затверджена ціна в гривнях</w:t>
            </w:r>
          </w:p>
        </w:tc>
      </w:tr>
      <w:tr w:rsidR="00432200" w:rsidRPr="00432200" w:rsidTr="00432200">
        <w:trPr>
          <w:trHeight w:val="255"/>
        </w:trPr>
        <w:tc>
          <w:tcPr>
            <w:tcW w:w="11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2200" w:rsidRPr="00432200" w:rsidTr="00432200">
        <w:trPr>
          <w:trHeight w:val="255"/>
        </w:trPr>
        <w:tc>
          <w:tcPr>
            <w:tcW w:w="11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2200" w:rsidRPr="00432200" w:rsidTr="00432200">
        <w:trPr>
          <w:trHeight w:val="230"/>
        </w:trPr>
        <w:tc>
          <w:tcPr>
            <w:tcW w:w="11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2200" w:rsidRPr="00432200" w:rsidTr="00432200">
        <w:trPr>
          <w:trHeight w:val="988"/>
        </w:trPr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ілактичний огляд схема №1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(чоловіки) 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Особи, що вперше приймаються на роботу без шкідливих умов праці, попередні та періодичні (наказ №246)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480,00</w:t>
            </w:r>
          </w:p>
        </w:tc>
      </w:tr>
      <w:tr w:rsidR="00432200" w:rsidRPr="00432200" w:rsidTr="00432200">
        <w:trPr>
          <w:trHeight w:val="984"/>
        </w:trPr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ілактичний огляд схема №1 (жінки)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Особи, що вперше приймаються на роботу без шкідливих умов праці, попередні та періодичні  (наказ №246)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543,00</w:t>
            </w:r>
          </w:p>
        </w:tc>
      </w:tr>
      <w:tr w:rsidR="00432200" w:rsidRPr="00432200" w:rsidTr="00432200">
        <w:trPr>
          <w:trHeight w:val="714"/>
        </w:trPr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ілактичний огляд схема №2 (чоловіки) 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Працівники зі шкідливими умовами праці (Наказ  № 246)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623,00</w:t>
            </w:r>
          </w:p>
        </w:tc>
      </w:tr>
      <w:tr w:rsidR="00432200" w:rsidRPr="00432200" w:rsidTr="00432200">
        <w:trPr>
          <w:trHeight w:val="720"/>
        </w:trPr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ілактичний огляд схема №2 (жінки) 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Працівники зі шкідливими умовами праці (Наказ  № 246)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686,00</w:t>
            </w:r>
          </w:p>
        </w:tc>
      </w:tr>
      <w:tr w:rsidR="00432200" w:rsidRPr="00432200" w:rsidTr="00432200">
        <w:trPr>
          <w:trHeight w:val="1231"/>
        </w:trPr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ілактичний огляд схема №2а (чоловіки) 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Працівники  зі  шкідливими умовами праці (для робітників сільського господарства, для роботи з пестицидами та агрохімікатами) (Наказ  № 246) </w:t>
            </w:r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593,00</w:t>
            </w:r>
          </w:p>
        </w:tc>
      </w:tr>
      <w:tr w:rsidR="00432200" w:rsidRPr="00432200" w:rsidTr="00432200">
        <w:trPr>
          <w:trHeight w:val="1207"/>
        </w:trPr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ілактичний огляд схема №2а (жінки) 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Працівники  зі  шкідливими умовами праці (для робітників сільського господарства, для роботи з пестицидами та агрохімікатами) (Наказ  № 246) </w:t>
            </w:r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656,00</w:t>
            </w:r>
          </w:p>
        </w:tc>
      </w:tr>
      <w:tr w:rsidR="00432200" w:rsidRPr="00432200" w:rsidTr="00432200">
        <w:trPr>
          <w:trHeight w:val="1198"/>
        </w:trPr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ілактичний огляд схема №3 ( чоловіки)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Тваринники, працівники ферм, оператори машинного доїння, які працевлаштовуються вперше (Наказ №280, №246)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785,00</w:t>
            </w:r>
          </w:p>
        </w:tc>
      </w:tr>
      <w:tr w:rsidR="00432200" w:rsidRPr="00432200" w:rsidTr="00432200">
        <w:trPr>
          <w:trHeight w:val="876"/>
        </w:trPr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ілактичний огляд схема №3 ( жінки)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Тваринники, працівники ферм, оператори машинного доїння, які працевлаштовуються вперше (Наказ №280, №246)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874,00</w:t>
            </w:r>
          </w:p>
        </w:tc>
      </w:tr>
      <w:tr w:rsidR="00432200" w:rsidRPr="00432200" w:rsidTr="00432200">
        <w:trPr>
          <w:trHeight w:val="1125"/>
        </w:trPr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ілактичний огляд схема №3а (чоловіки)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Тваринники, працівники ферм, оператори машинного доїння - черговий огляд 1 раз на рік (Наказ №280, №246)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558,00</w:t>
            </w:r>
          </w:p>
        </w:tc>
      </w:tr>
      <w:tr w:rsidR="00432200" w:rsidRPr="00432200" w:rsidTr="00432200">
        <w:trPr>
          <w:trHeight w:val="906"/>
        </w:trPr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ілактичний огляд схема №3а (жінки)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Тваринники, працівники ферм, оператори машинного доїння - черговий огляд 1 раз на рік (Наказ №280, №246)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671,00</w:t>
            </w:r>
          </w:p>
        </w:tc>
      </w:tr>
      <w:tr w:rsidR="00432200" w:rsidRPr="00432200" w:rsidTr="00432200">
        <w:trPr>
          <w:trHeight w:val="1552"/>
        </w:trPr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ілактичний огляд схема №4 (чоловіки)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Декретована група (харчова та переробна промисловість, продовольча торгівля, ринки, водопостачаючі та водоочисні підприємства).Контингент, який працевлаштовується вперше (Наказ № 280, № 246)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667,00</w:t>
            </w:r>
          </w:p>
        </w:tc>
      </w:tr>
      <w:tr w:rsidR="00432200" w:rsidRPr="00432200" w:rsidTr="00432200">
        <w:trPr>
          <w:trHeight w:val="1503"/>
        </w:trPr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ілактичний огляд схема №4 (жінки) 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Декретована група (харчова та переробна промисловість, продовольча торгівля, ринки, водопостачаючі та водоочисні підприємства). Контингент, який працевлаштовується вперше (Наказ № 280, № 246)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756,00</w:t>
            </w:r>
          </w:p>
        </w:tc>
      </w:tr>
      <w:tr w:rsidR="00432200" w:rsidRPr="00432200" w:rsidTr="00432200">
        <w:trPr>
          <w:trHeight w:val="1583"/>
        </w:trPr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ілактичний огляд схема №4а (чоловіки)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Декретована група (харчова та переробна промисловість, продовольча торгівля, ринки, водопостачаючі та водоочисні підприємства). Контингент, який працевлаштовується вперше (наказ № 280)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554,00</w:t>
            </w:r>
          </w:p>
        </w:tc>
      </w:tr>
      <w:tr w:rsidR="00432200" w:rsidRPr="00432200" w:rsidTr="00432200">
        <w:trPr>
          <w:trHeight w:val="1521"/>
        </w:trPr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ілактичний огляд схема №4а (жінки)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Декретована група (харчова та переробна промисловість, продовольча торгівля, ринки, водопостачаючі та водоочисні підприємства). Контингент, який працевлаштовується вперше (наказ № 280)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554,00</w:t>
            </w:r>
          </w:p>
        </w:tc>
      </w:tr>
      <w:tr w:rsidR="00432200" w:rsidRPr="00432200" w:rsidTr="00432200">
        <w:trPr>
          <w:trHeight w:val="1304"/>
        </w:trPr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ілактичний огляд схема №4а (чоловіки)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Проведення медичних оглядів  працівників певних категорій залізничного транспорту. Контингент, який працевлаштовується вперше (наказ № 280)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554,00</w:t>
            </w:r>
          </w:p>
        </w:tc>
      </w:tr>
      <w:tr w:rsidR="00432200" w:rsidRPr="00432200" w:rsidTr="00432200">
        <w:trPr>
          <w:trHeight w:val="1247"/>
        </w:trPr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ілактичний огляд схема №4а (жінки)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Проведення медичних оглядів  працівників певних категорій залізничного транспорту. Контингент, який працевлаштовується вперше (наказ № 280)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554,00</w:t>
            </w:r>
          </w:p>
        </w:tc>
      </w:tr>
      <w:tr w:rsidR="00432200" w:rsidRPr="00432200" w:rsidTr="00432200">
        <w:trPr>
          <w:trHeight w:val="1587"/>
        </w:trPr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ілактичний огляд схема №4а (чоловіки)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Декретована група (харчова та переробна промисловість, продовольча торгівля, ринки, водопостачаючі та водоочисні підприємства). Черговий огляд 1 раз на </w:t>
            </w:r>
            <w:proofErr w:type="gramStart"/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ік (наказ № 280)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491,00</w:t>
            </w:r>
          </w:p>
        </w:tc>
      </w:tr>
      <w:tr w:rsidR="00432200" w:rsidRPr="00432200" w:rsidTr="00432200">
        <w:trPr>
          <w:trHeight w:val="1247"/>
        </w:trPr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ілактичний огляд схема №4а (жінки)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Декретована група (харчова та переробна промисловість, продовольча торгівля, ринки, водопостачаючі та водоочисні підприємства). Черговий огляд 1 раз на </w:t>
            </w:r>
            <w:proofErr w:type="gramStart"/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ік (наказ № 280)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491,00</w:t>
            </w:r>
          </w:p>
        </w:tc>
      </w:tr>
      <w:tr w:rsidR="00432200" w:rsidRPr="00432200" w:rsidTr="00432200">
        <w:trPr>
          <w:trHeight w:val="1247"/>
        </w:trPr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ілактичний огляд схема №4а (чоловіки)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Проведення медичних оглядів  працівників певних категорій залізничного транспорту. Черговий огляд 1 раз на </w:t>
            </w:r>
            <w:proofErr w:type="gramStart"/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ік  (наказ № 280)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491,00</w:t>
            </w:r>
          </w:p>
        </w:tc>
      </w:tr>
      <w:tr w:rsidR="00432200" w:rsidRPr="00432200" w:rsidTr="00432200">
        <w:trPr>
          <w:trHeight w:val="1134"/>
        </w:trPr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ілактичний огляд схема №4а (жінки)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Проведення медичних оглядів  працівників певних категорій залізничного транспорту. Черговий огляд 1 раз на </w:t>
            </w:r>
            <w:proofErr w:type="gramStart"/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ік  (наказ № 280)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491,00</w:t>
            </w:r>
          </w:p>
        </w:tc>
      </w:tr>
      <w:tr w:rsidR="00432200" w:rsidRPr="00432200" w:rsidTr="00432200">
        <w:trPr>
          <w:trHeight w:val="1531"/>
        </w:trPr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ілактичний огляд схема №4б (чоловіки) 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Декретована група (харчова та переробна промисловість, продовольча торгівля, ринки, водопостачаючі та водоочисні підприємства). Періодичний огляд 2 раза на </w:t>
            </w:r>
            <w:proofErr w:type="gramStart"/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ік (Наказ № 280)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355,00</w:t>
            </w:r>
          </w:p>
        </w:tc>
      </w:tr>
      <w:tr w:rsidR="00432200" w:rsidRPr="00432200" w:rsidTr="00432200">
        <w:trPr>
          <w:trHeight w:val="1531"/>
        </w:trPr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ілактичний огляд схема №4б (жінки)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Декретована група (харчова та переробна промисловість, продовольча торгівля, ринки, водопостачаючі та водоочисні підприємства). Періодичний огляд 2 раза на </w:t>
            </w:r>
            <w:proofErr w:type="gramStart"/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ік (Наказ № 280)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444,00</w:t>
            </w:r>
          </w:p>
        </w:tc>
      </w:tr>
      <w:tr w:rsidR="00432200" w:rsidRPr="00432200" w:rsidTr="00432200">
        <w:trPr>
          <w:trHeight w:val="907"/>
        </w:trPr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ілактичний огляд схема №4в (чоловіки) 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Декретована група ( харчова та переробна промисловість). Черговий огляд 1 раз на </w:t>
            </w:r>
            <w:proofErr w:type="gramStart"/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ік. (Наказ № 280)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471,00</w:t>
            </w:r>
          </w:p>
        </w:tc>
      </w:tr>
      <w:tr w:rsidR="00432200" w:rsidRPr="00432200" w:rsidTr="00432200">
        <w:trPr>
          <w:trHeight w:val="907"/>
        </w:trPr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ілактичний огляд схема №4в (жінки)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Декретована група ( харчова та переробна промисловість). Черговий огляд 1 раз на </w:t>
            </w:r>
            <w:proofErr w:type="gramStart"/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ік. (Наказ № 280)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471,00</w:t>
            </w:r>
          </w:p>
        </w:tc>
      </w:tr>
      <w:tr w:rsidR="00432200" w:rsidRPr="00432200" w:rsidTr="00432200">
        <w:trPr>
          <w:trHeight w:val="907"/>
        </w:trPr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ілактичний огляд схема №4г (чоловіки) 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Декретована група ( харчова та переробна промисловість). Періодичний огляд 2 рази на </w:t>
            </w:r>
            <w:proofErr w:type="gramStart"/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ік. (Наказ № 280)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272,00</w:t>
            </w:r>
          </w:p>
        </w:tc>
      </w:tr>
      <w:tr w:rsidR="00432200" w:rsidRPr="00432200" w:rsidTr="00432200">
        <w:trPr>
          <w:trHeight w:val="907"/>
        </w:trPr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ілактичний огляд схема №4г (жінки)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Декретована група ( харчова та переробна промисловість). Періодичний огляд 2 рази на </w:t>
            </w:r>
            <w:proofErr w:type="gramStart"/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ік. (Наказ № 280)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272,00</w:t>
            </w:r>
          </w:p>
        </w:tc>
      </w:tr>
      <w:tr w:rsidR="00432200" w:rsidRPr="00432200" w:rsidTr="00432200">
        <w:trPr>
          <w:trHeight w:val="1247"/>
        </w:trPr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ілактичний огляд схема №5 (чоловіки)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Особи, що працюють зі шкідливими умовами праці та належать до декретованої групи, що вперше приймаються на роботу (Наказ №280, №246)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902,00</w:t>
            </w:r>
          </w:p>
        </w:tc>
      </w:tr>
      <w:tr w:rsidR="00432200" w:rsidRPr="00432200" w:rsidTr="00432200">
        <w:trPr>
          <w:trHeight w:val="1191"/>
        </w:trPr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ілактичний огляд схема №5 (жінки) 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Особи, що працюють зі шкідливими умовами праці та належать до декретованої групи, що вперше приймаються на роботу (Наказ №280, №246)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991,00</w:t>
            </w:r>
          </w:p>
        </w:tc>
      </w:tr>
      <w:tr w:rsidR="00432200" w:rsidRPr="00432200" w:rsidTr="00432200">
        <w:trPr>
          <w:trHeight w:val="964"/>
        </w:trPr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ілактичний огляд схема №5а (чоловіки)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Декретована група (періодичні профілактичні медичні огляди 1 раз на рік) (Наказ № 280, № 246)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902,00</w:t>
            </w:r>
          </w:p>
        </w:tc>
      </w:tr>
      <w:tr w:rsidR="00432200" w:rsidRPr="00432200" w:rsidTr="00432200">
        <w:trPr>
          <w:trHeight w:val="907"/>
        </w:trPr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ілактичний огляд схема №5а (жінки)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Декретована група (періодичні профілактичні медичні огляди 1 раз на рік) (Наказ № 280, № 246)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991,00</w:t>
            </w:r>
          </w:p>
        </w:tc>
      </w:tr>
      <w:tr w:rsidR="00432200" w:rsidRPr="00432200" w:rsidTr="00432200">
        <w:trPr>
          <w:trHeight w:val="1191"/>
        </w:trPr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ілактичний огляд схема №6 (чоловіки) (до 40 років)( стандарт) 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медичних оглядів працівників певних категорій залізничного транспорту (Наказ № 240)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435,00</w:t>
            </w:r>
          </w:p>
        </w:tc>
      </w:tr>
      <w:tr w:rsidR="00432200" w:rsidRPr="00432200" w:rsidTr="00432200">
        <w:trPr>
          <w:trHeight w:val="964"/>
        </w:trPr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ілактичний огляд схема №6 (жінки)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(до 40 років) (стандарт) 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медичних оглядів працівників певних категорій залізничного транспорту (Наказ № 240)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613,00</w:t>
            </w:r>
          </w:p>
        </w:tc>
      </w:tr>
      <w:tr w:rsidR="00432200" w:rsidRPr="00432200" w:rsidTr="00432200">
        <w:trPr>
          <w:trHeight w:val="1247"/>
        </w:trPr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ілактичний огляд схема №6 (чоловіки) (після 40 років)( стандарт) 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медичних оглядів працівників певних категорій залізничного транспорту (Наказ № 240)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629,00</w:t>
            </w:r>
          </w:p>
        </w:tc>
      </w:tr>
      <w:tr w:rsidR="00432200" w:rsidRPr="00432200" w:rsidTr="00432200">
        <w:trPr>
          <w:trHeight w:val="1191"/>
        </w:trPr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ілактичний огляд схема №6 (жінки)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(після 40 років) (стандарт) 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медичних оглядів працівників певних категорій залізничного транспорту (Наказ № 240)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807,00</w:t>
            </w:r>
          </w:p>
        </w:tc>
      </w:tr>
      <w:tr w:rsidR="00432200" w:rsidRPr="00432200" w:rsidTr="00432200">
        <w:trPr>
          <w:trHeight w:val="1191"/>
        </w:trPr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ілактичний огляд схема №6а (чоловіки)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Проведення медичних оглядів працівників певних категорій залізничного транспорту  зі шкідливими умовами праці (Наказ № 246)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224,00</w:t>
            </w:r>
          </w:p>
        </w:tc>
      </w:tr>
      <w:tr w:rsidR="00432200" w:rsidRPr="00432200" w:rsidTr="00432200">
        <w:trPr>
          <w:trHeight w:val="1191"/>
        </w:trPr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ілактичний огляд схема №6а (жінки)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Проведення медичних оглядів працівників певних категорій залізничного транспорту  зі шкідливими умовами праці (Наказ № 246)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369,00</w:t>
            </w:r>
          </w:p>
        </w:tc>
      </w:tr>
      <w:tr w:rsidR="00432200" w:rsidRPr="00432200" w:rsidTr="00432200">
        <w:trPr>
          <w:trHeight w:val="2154"/>
        </w:trPr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ілактичний огляд схема №7 (чоловіки, жінки)  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Працівники, які підлягають попередньому медичному огляду (Адміністрація,викладачі,вчителі,вихователі, медичний персонал,інший педагогічний і технічний персонал, працівники харчоблоків,учні ПТУ та студенти вищих навчальних закладів перед початком та в період проходження виробничої практики) (Наказ № 280)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554,00</w:t>
            </w:r>
          </w:p>
        </w:tc>
      </w:tr>
      <w:tr w:rsidR="00432200" w:rsidRPr="00432200" w:rsidTr="00432200">
        <w:trPr>
          <w:trHeight w:val="1531"/>
        </w:trPr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ілактичний огляд схема №7а (чоловіки, жінки)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Працівники, які підлягають черговому (періодичному)  медичному огляду (1 раз на рік). (Адміністрація, викладачі, вчителі, вихователі, медичний персонал, інший педагогічний та технічний персонал) (Наказ № 280)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448,00</w:t>
            </w:r>
          </w:p>
        </w:tc>
      </w:tr>
      <w:tr w:rsidR="00432200" w:rsidRPr="00432200" w:rsidTr="00432200">
        <w:trPr>
          <w:trHeight w:val="1191"/>
        </w:trPr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ілактичний огляд схема №7б (чоловіки, жінки)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Працівники  харчоблоків, які підлягають черговому (періодичному) медичному огляду (2 рази на рік) (річна комісія) (Наказ № 280)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491,00</w:t>
            </w:r>
          </w:p>
        </w:tc>
      </w:tr>
      <w:tr w:rsidR="00432200" w:rsidRPr="00432200" w:rsidTr="00432200">
        <w:trPr>
          <w:trHeight w:val="1247"/>
        </w:trPr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ілактичний огляд схема №7в (чоловіки, жінки)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Працівники харчоблоків, які підлягають черговому (періодичному) медичному огляду (2 рази на рік) (піврічна ) (Наказ № 280)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209,00</w:t>
            </w:r>
          </w:p>
        </w:tc>
      </w:tr>
      <w:tr w:rsidR="00432200" w:rsidRPr="00432200" w:rsidTr="00432200">
        <w:trPr>
          <w:trHeight w:val="1871"/>
        </w:trPr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ілактичний огляд схема №8 (чоловіки, жінки)  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Працівники, які підлягають попередньому медичному огляду  (завідувачі, вихователі, помічники вихователів, логопеди, музичні керівники та інший педагогічний, медичний і технічний персонал, працівники харчоблоків, двірники, слюсарі та інший персонал) (Наказ № 280)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554,00</w:t>
            </w:r>
          </w:p>
        </w:tc>
      </w:tr>
      <w:tr w:rsidR="00432200" w:rsidRPr="00432200" w:rsidTr="00432200">
        <w:trPr>
          <w:trHeight w:val="1928"/>
        </w:trPr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ілактичний огляд схема №8а (чоловіки, жінки)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Працівники, які підлягають черговому (періодичному) медичному огляду  (2 рази на рік). (Завідувачі, вихователі, помічники вихователів, логопеди, музичні керівники, медичний та інший педагогічний та технічний персонал) (</w:t>
            </w:r>
            <w:proofErr w:type="gramStart"/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ічна комісія) (Наказ № 280)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405,00</w:t>
            </w:r>
          </w:p>
        </w:tc>
      </w:tr>
      <w:tr w:rsidR="00432200" w:rsidRPr="00432200" w:rsidTr="00432200">
        <w:trPr>
          <w:trHeight w:val="1587"/>
        </w:trPr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ілактичний огляд схема №8б (чоловіки, жінки)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Працівники, які підлягають черговому (періодичному) медичному огляду   (1 раз на рік). (Слюсарі, столяри, двірники, електромонтери, прибиральники та інший персонал) (Наказ № 280)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322,00</w:t>
            </w:r>
          </w:p>
        </w:tc>
      </w:tr>
      <w:tr w:rsidR="00432200" w:rsidRPr="00432200" w:rsidTr="00432200">
        <w:trPr>
          <w:trHeight w:val="1814"/>
        </w:trPr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ілактичний огляд схема №8в (чоловіки, жінки)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Працівники, які підлягають черговому (періодичному) медичному огляду (2 рази на рік). (Завідувачі, вихователі, помічники вихователів, логопеди, музичні керівники та інші педагогічний, технічний, медичний персонал). (</w:t>
            </w:r>
            <w:proofErr w:type="gramStart"/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іврічна комісія)</w:t>
            </w:r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(Наказ № 280)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206,00</w:t>
            </w:r>
          </w:p>
        </w:tc>
      </w:tr>
      <w:tr w:rsidR="00432200" w:rsidRPr="00432200" w:rsidTr="00432200">
        <w:trPr>
          <w:trHeight w:val="964"/>
        </w:trPr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ілактичний огляд схема №8г (чоловіки, жінки)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Працівники харчоблоків, які підлягають черговому (періодичному) медичному огляді (2 рази на рік). (</w:t>
            </w:r>
            <w:proofErr w:type="gramStart"/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ічна комісія) (Наказ № 280)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491,00</w:t>
            </w:r>
          </w:p>
        </w:tc>
      </w:tr>
      <w:tr w:rsidR="00432200" w:rsidRPr="00432200" w:rsidTr="00432200">
        <w:trPr>
          <w:trHeight w:val="1077"/>
        </w:trPr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ілактичний огляд схема №8д (чоловіки, жінки)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Працівники харчоблоків, які підлягають  черговому (періодичному)медичному огляду (2 рази на рік). (</w:t>
            </w:r>
            <w:proofErr w:type="gramStart"/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іврічна комісія) (Наказ № 280)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292,00</w:t>
            </w:r>
          </w:p>
        </w:tc>
      </w:tr>
      <w:tr w:rsidR="00432200" w:rsidRPr="00432200" w:rsidTr="00432200">
        <w:trPr>
          <w:trHeight w:val="1125"/>
        </w:trPr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ілактичний огляд схема №9 (чоловіки, жінки)  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Працівники, які підлягають попередньому медичному огляду (фармацевтична промисловість)</w:t>
            </w:r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(Наказ № 280)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554,00</w:t>
            </w:r>
          </w:p>
        </w:tc>
      </w:tr>
      <w:tr w:rsidR="00432200" w:rsidRPr="00432200" w:rsidTr="00432200">
        <w:trPr>
          <w:trHeight w:val="1191"/>
        </w:trPr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ілактичний огляд схема №9а (чоловіки, жінки)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Працівники, які підлягають періодичному (черговому) медичному огляду (1 раз на рік) (фармацевтична промисловість) (Наказ № 280)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163,00</w:t>
            </w:r>
          </w:p>
        </w:tc>
      </w:tr>
      <w:tr w:rsidR="00432200" w:rsidRPr="00432200" w:rsidTr="00432200">
        <w:trPr>
          <w:trHeight w:val="907"/>
        </w:trPr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ілактичний огляд схема №10 (чоловіки, жінки)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Працівники, які підлягають попередньому медичному огляду (соціальна промисловість)      </w:t>
            </w:r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(Наказ № 280)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554,00</w:t>
            </w:r>
          </w:p>
        </w:tc>
      </w:tr>
      <w:tr w:rsidR="00432200" w:rsidRPr="00432200" w:rsidTr="00432200">
        <w:trPr>
          <w:trHeight w:val="1268"/>
        </w:trPr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ілактичний огляд схема №10а (чоловіки, жінки)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Працівники, які підлягають черговому (періодичному) медичному  огляду (1 раз на рік) (соціальна промисловість) (Наказ № 280)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405,00</w:t>
            </w:r>
          </w:p>
        </w:tc>
      </w:tr>
      <w:tr w:rsidR="00432200" w:rsidRPr="00432200" w:rsidTr="00432200">
        <w:trPr>
          <w:trHeight w:val="964"/>
        </w:trPr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Додаткові обов’язкові медичні огляди та обстеження, що призначаються в залежності від характеру роботи, віку, шкідливих умов праці та за наявності клінічних показань</w:t>
            </w:r>
          </w:p>
        </w:tc>
      </w:tr>
      <w:tr w:rsidR="00432200" w:rsidRPr="00432200" w:rsidTr="00432200">
        <w:trPr>
          <w:trHeight w:val="375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Огляд терапевта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73,00</w:t>
            </w:r>
          </w:p>
        </w:tc>
      </w:tr>
      <w:tr w:rsidR="00432200" w:rsidRPr="00432200" w:rsidTr="00432200">
        <w:trPr>
          <w:trHeight w:val="37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Огляд отоларинголога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</w:tr>
      <w:tr w:rsidR="00432200" w:rsidRPr="00432200" w:rsidTr="00432200">
        <w:trPr>
          <w:trHeight w:val="37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Огляд офтальмолога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62,00</w:t>
            </w:r>
          </w:p>
        </w:tc>
      </w:tr>
      <w:tr w:rsidR="00432200" w:rsidRPr="00432200" w:rsidTr="00432200">
        <w:trPr>
          <w:trHeight w:val="37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Огляд хірурга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35,00</w:t>
            </w:r>
          </w:p>
        </w:tc>
      </w:tr>
      <w:tr w:rsidR="00432200" w:rsidRPr="00432200" w:rsidTr="00432200">
        <w:trPr>
          <w:trHeight w:val="37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Огляд невропатолога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64,00</w:t>
            </w:r>
          </w:p>
        </w:tc>
      </w:tr>
      <w:tr w:rsidR="00432200" w:rsidRPr="00432200" w:rsidTr="00432200">
        <w:trPr>
          <w:trHeight w:val="37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Огляд алерголога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432200" w:rsidRPr="00432200" w:rsidTr="00432200">
        <w:trPr>
          <w:trHeight w:val="37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Огляд акушер-гінеколога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63,00</w:t>
            </w:r>
          </w:p>
        </w:tc>
      </w:tr>
      <w:tr w:rsidR="00432200" w:rsidRPr="00432200" w:rsidTr="00432200">
        <w:trPr>
          <w:trHeight w:val="37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Огляд стоматолога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</w:tr>
      <w:tr w:rsidR="00432200" w:rsidRPr="00432200" w:rsidTr="00432200">
        <w:trPr>
          <w:trHeight w:val="37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Огляд дерматовенеролога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432200" w:rsidRPr="00432200" w:rsidTr="00432200">
        <w:trPr>
          <w:trHeight w:val="37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Огляд онколога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53,00</w:t>
            </w:r>
          </w:p>
        </w:tc>
      </w:tr>
      <w:tr w:rsidR="00432200" w:rsidRPr="00432200" w:rsidTr="00432200">
        <w:trPr>
          <w:trHeight w:val="37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Огляд уролога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432200" w:rsidRPr="00432200" w:rsidTr="00432200">
        <w:trPr>
          <w:trHeight w:val="37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Огляд ендокринолога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37,00</w:t>
            </w:r>
          </w:p>
        </w:tc>
      </w:tr>
      <w:tr w:rsidR="00432200" w:rsidRPr="00432200" w:rsidTr="00432200">
        <w:trPr>
          <w:trHeight w:val="37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Огляд кардіолога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46,00</w:t>
            </w:r>
          </w:p>
        </w:tc>
      </w:tr>
      <w:tr w:rsidR="00432200" w:rsidRPr="00432200" w:rsidTr="00432200">
        <w:trPr>
          <w:trHeight w:val="37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Огляд фтизіатра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54,00</w:t>
            </w:r>
          </w:p>
        </w:tc>
      </w:tr>
      <w:tr w:rsidR="00432200" w:rsidRPr="00432200" w:rsidTr="00432200">
        <w:trPr>
          <w:trHeight w:val="37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Огляд травматолога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432200" w:rsidRPr="00432200" w:rsidTr="00432200">
        <w:trPr>
          <w:trHeight w:val="37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Огляд інфекціоніста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55,00</w:t>
            </w:r>
          </w:p>
        </w:tc>
      </w:tr>
      <w:tr w:rsidR="00432200" w:rsidRPr="00432200" w:rsidTr="00432200">
        <w:trPr>
          <w:trHeight w:val="37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Ехокардіографія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92,00</w:t>
            </w:r>
          </w:p>
        </w:tc>
      </w:tr>
      <w:tr w:rsidR="00432200" w:rsidRPr="00432200" w:rsidTr="00432200">
        <w:trPr>
          <w:trHeight w:val="37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УЗД органів черевної порожнини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160,00</w:t>
            </w:r>
          </w:p>
        </w:tc>
      </w:tr>
      <w:tr w:rsidR="00432200" w:rsidRPr="00432200" w:rsidTr="00432200">
        <w:trPr>
          <w:trHeight w:val="37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УЗД сечостатевої системи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149,00</w:t>
            </w:r>
          </w:p>
        </w:tc>
      </w:tr>
      <w:tr w:rsidR="00432200" w:rsidRPr="00432200" w:rsidTr="00432200">
        <w:trPr>
          <w:trHeight w:val="37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УЗД щитоподібної залози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92,00</w:t>
            </w:r>
          </w:p>
        </w:tc>
      </w:tr>
      <w:tr w:rsidR="00432200" w:rsidRPr="00432200" w:rsidTr="00432200">
        <w:trPr>
          <w:trHeight w:val="624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Тестування функції зовнішнього дихання (ФЗД) (Спірографія)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432200" w:rsidRPr="00432200" w:rsidTr="00432200">
        <w:trPr>
          <w:trHeight w:val="37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Ауд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іометрія (аудіограма)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77,00</w:t>
            </w:r>
          </w:p>
        </w:tc>
      </w:tr>
      <w:tr w:rsidR="00432200" w:rsidRPr="00432200" w:rsidTr="00432200">
        <w:trPr>
          <w:trHeight w:val="37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РВГ перефіричних судин (Реовазографія)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23,00</w:t>
            </w:r>
          </w:p>
        </w:tc>
      </w:tr>
      <w:tr w:rsidR="00432200" w:rsidRPr="00432200" w:rsidTr="00432200">
        <w:trPr>
          <w:trHeight w:val="624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Біохімічний аналіз крові  </w:t>
            </w: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Білірубін, Лужна фосфатаза, Холестерин, АлАТ, АсАТ, Креатинін)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179,00</w:t>
            </w:r>
          </w:p>
        </w:tc>
      </w:tr>
      <w:tr w:rsidR="00432200" w:rsidRPr="00432200" w:rsidTr="00432200">
        <w:trPr>
          <w:trHeight w:val="567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Біохімічний аналіз крові (Креатинін АлАТ  АсАТ  Білірубін) на 1 </w:t>
            </w: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досл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ідження (наказ 240)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141,00</w:t>
            </w:r>
          </w:p>
        </w:tc>
      </w:tr>
      <w:tr w:rsidR="00432200" w:rsidRPr="00432200" w:rsidTr="00432200">
        <w:trPr>
          <w:trHeight w:val="624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Біохімічний аналіз крові ( АлАТ  АсАТ  Білірубін Лужна фосфатаза ) на 1 </w:t>
            </w: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досл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ідження (наказ 246)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127,00</w:t>
            </w:r>
          </w:p>
        </w:tc>
      </w:tr>
      <w:tr w:rsidR="00432200" w:rsidRPr="00432200" w:rsidTr="00432200">
        <w:trPr>
          <w:trHeight w:val="283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Біохімічний аналіз крові  №1 </w:t>
            </w: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АлАТ  АсАТ  Білірубін )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117,00</w:t>
            </w:r>
          </w:p>
        </w:tc>
      </w:tr>
      <w:tr w:rsidR="00432200" w:rsidRPr="00432200" w:rsidTr="00432200">
        <w:trPr>
          <w:trHeight w:val="559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Біохімічний аналіз крові №2 </w:t>
            </w: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АлАТ  АсАТ  Білірубін Лужна фосфатаза  Холінестераза АХХ)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146,00</w:t>
            </w:r>
          </w:p>
        </w:tc>
      </w:tr>
      <w:tr w:rsidR="00432200" w:rsidRPr="00432200" w:rsidTr="00432200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Аналіз крові на цукор (Визначення глюкози в крові)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26,00</w:t>
            </w:r>
          </w:p>
        </w:tc>
      </w:tr>
      <w:tr w:rsidR="00432200" w:rsidRPr="00432200" w:rsidTr="00432200">
        <w:trPr>
          <w:trHeight w:val="37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ЕКГ у 12 станд. відведеннях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33,00</w:t>
            </w:r>
          </w:p>
        </w:tc>
      </w:tr>
      <w:tr w:rsidR="00432200" w:rsidRPr="00432200" w:rsidTr="00432200">
        <w:trPr>
          <w:trHeight w:val="37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ЕКГ у 12 станд. відведеннях з ритмограмою 2 хв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51,00</w:t>
            </w:r>
          </w:p>
        </w:tc>
      </w:tr>
      <w:tr w:rsidR="00432200" w:rsidRPr="00432200" w:rsidTr="00432200">
        <w:trPr>
          <w:trHeight w:val="37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Кольпоскопія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33,00</w:t>
            </w:r>
          </w:p>
        </w:tc>
      </w:tr>
      <w:tr w:rsidR="00432200" w:rsidRPr="00432200" w:rsidTr="00432200">
        <w:trPr>
          <w:trHeight w:val="37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Загальний аналіз крові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61,00</w:t>
            </w:r>
          </w:p>
        </w:tc>
      </w:tr>
      <w:tr w:rsidR="00432200" w:rsidRPr="00432200" w:rsidTr="00432200">
        <w:trPr>
          <w:trHeight w:val="37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Аналіз крові на  - Н</w:t>
            </w: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Л ШОЕ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54,00</w:t>
            </w:r>
          </w:p>
        </w:tc>
      </w:tr>
      <w:tr w:rsidR="00432200" w:rsidRPr="00432200" w:rsidTr="00432200">
        <w:trPr>
          <w:trHeight w:val="37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Загальний аналіз сечі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19,00</w:t>
            </w:r>
          </w:p>
        </w:tc>
      </w:tr>
      <w:tr w:rsidR="00432200" w:rsidRPr="00432200" w:rsidTr="00432200">
        <w:trPr>
          <w:trHeight w:val="37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Мазок із статевих органі</w:t>
            </w: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на флору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432200" w:rsidRPr="00432200" w:rsidTr="00432200">
        <w:trPr>
          <w:trHeight w:val="39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Цитологічне </w:t>
            </w: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досл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ідження мазків із статевих органів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432200" w:rsidRPr="00432200" w:rsidTr="00432200">
        <w:trPr>
          <w:trHeight w:val="37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РВ (РМП) крові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59,00</w:t>
            </w:r>
          </w:p>
        </w:tc>
      </w:tr>
      <w:tr w:rsidR="00432200" w:rsidRPr="00432200" w:rsidTr="00432200">
        <w:trPr>
          <w:trHeight w:val="37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Мазки на гонорею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24,00</w:t>
            </w:r>
          </w:p>
        </w:tc>
      </w:tr>
      <w:tr w:rsidR="00432200" w:rsidRPr="00432200" w:rsidTr="00432200">
        <w:trPr>
          <w:trHeight w:val="37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Носійство кишкових інфекцій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111,00</w:t>
            </w:r>
          </w:p>
        </w:tc>
      </w:tr>
      <w:tr w:rsidR="00432200" w:rsidRPr="00432200" w:rsidTr="00432200">
        <w:trPr>
          <w:trHeight w:val="624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Мазок з горла  та носа на носійство  патогенного стафілококу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63,00</w:t>
            </w:r>
          </w:p>
        </w:tc>
      </w:tr>
      <w:tr w:rsidR="00432200" w:rsidRPr="00432200" w:rsidTr="00432200">
        <w:trPr>
          <w:trHeight w:val="37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Обстеження на гельмінти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432200" w:rsidRPr="00432200" w:rsidTr="00432200">
        <w:trPr>
          <w:trHeight w:val="37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Холестерин крові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</w:tr>
      <w:tr w:rsidR="00432200" w:rsidRPr="00432200" w:rsidTr="00432200">
        <w:trPr>
          <w:trHeight w:val="37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</w:t>
            </w: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алу на приховану кров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24,00</w:t>
            </w:r>
          </w:p>
        </w:tc>
      </w:tr>
      <w:tr w:rsidR="00432200" w:rsidRPr="00432200" w:rsidTr="00432200">
        <w:trPr>
          <w:trHeight w:val="37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Рентгенографія грудної клітини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144,00</w:t>
            </w:r>
          </w:p>
        </w:tc>
      </w:tr>
      <w:tr w:rsidR="00432200" w:rsidRPr="00432200" w:rsidTr="00432200">
        <w:trPr>
          <w:trHeight w:val="39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Флюорографія ОГК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432200" w:rsidRPr="00432200" w:rsidTr="00432200">
        <w:trPr>
          <w:trHeight w:val="1285"/>
        </w:trPr>
        <w:tc>
          <w:tcPr>
            <w:tcW w:w="10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Наказ №246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Наказ Міністерства охорони здоров</w:t>
            </w:r>
            <w:proofErr w:type="gramStart"/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"я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України від 21 травня 2007 року № 246 "Про затвердження Порядку проведення медичних оглядів працівників певних категорій", зареєстрований в Міністерстві юстиції України 23 липня 2007 за № 846/14113 </w:t>
            </w:r>
          </w:p>
        </w:tc>
      </w:tr>
      <w:tr w:rsidR="00432200" w:rsidRPr="00432200" w:rsidTr="00432200">
        <w:trPr>
          <w:trHeight w:val="1832"/>
        </w:trPr>
        <w:tc>
          <w:tcPr>
            <w:tcW w:w="100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Наказ №280 -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Наказ Міністерства охорони здоров</w:t>
            </w:r>
            <w:proofErr w:type="gramStart"/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"я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України від 23 липня травня 2002 року № 280 "Щодо організації проведення обов'язкових профілактичних медичних оглядів працівників окремих професій, виробництв та організацій, діяльність, яких пов'язана з обслуговуванням населення і може призвести до поширення інфекційних хвороб", зареєстрований в Міністерстві юстиції України 08 серпня 2002 за № 640/6928</w:t>
            </w:r>
          </w:p>
        </w:tc>
      </w:tr>
      <w:tr w:rsidR="00432200" w:rsidRPr="00432200" w:rsidTr="00432200">
        <w:trPr>
          <w:trHeight w:val="1659"/>
        </w:trPr>
        <w:tc>
          <w:tcPr>
            <w:tcW w:w="100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Наказ № 240</w:t>
            </w: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Наказ Міністерства транспорту та зв'язку України від 29 квітня 2010 року № 240 "Про затвердження Порядку проведення медичних оглядів працівників певних категорій залізничного транспорту, метрополітенів та </w:t>
            </w:r>
            <w:proofErr w:type="gramStart"/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ідприємств міжгалузевого промислового залізничного транспорту України", зареєстрований в Міністерстві юстиції України 16 липня 2010  за № 537/17832.</w:t>
            </w:r>
          </w:p>
        </w:tc>
      </w:tr>
      <w:tr w:rsidR="00432200" w:rsidRPr="00432200" w:rsidTr="00432200">
        <w:trPr>
          <w:trHeight w:val="37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2200" w:rsidRPr="00432200" w:rsidTr="00432200">
        <w:trPr>
          <w:trHeight w:val="3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2200" w:rsidRPr="00432200" w:rsidTr="00432200">
        <w:trPr>
          <w:trHeight w:val="230"/>
        </w:trPr>
        <w:tc>
          <w:tcPr>
            <w:tcW w:w="7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з/</w:t>
            </w:r>
            <w:proofErr w:type="gramStart"/>
            <w:r w:rsidRPr="0043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65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Найменування платної медичної послуги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Затверджена ціна в гривнях  </w:t>
            </w:r>
          </w:p>
        </w:tc>
      </w:tr>
      <w:tr w:rsidR="00432200" w:rsidRPr="00432200" w:rsidTr="00432200">
        <w:trPr>
          <w:trHeight w:val="255"/>
        </w:trPr>
        <w:tc>
          <w:tcPr>
            <w:tcW w:w="7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2200" w:rsidRPr="00432200" w:rsidTr="00432200">
        <w:trPr>
          <w:trHeight w:val="255"/>
        </w:trPr>
        <w:tc>
          <w:tcPr>
            <w:tcW w:w="7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2200" w:rsidRPr="00432200" w:rsidTr="00432200">
        <w:trPr>
          <w:trHeight w:val="230"/>
        </w:trPr>
        <w:tc>
          <w:tcPr>
            <w:tcW w:w="7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2200" w:rsidRPr="00432200" w:rsidTr="00432200">
        <w:trPr>
          <w:trHeight w:val="964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Довідка про проходження попереднього, періодичного та позачергового психіатричних огляді</w:t>
            </w:r>
            <w:proofErr w:type="gramStart"/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, у тому числі на предмет вживання психоактивних речовин*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410,00</w:t>
            </w:r>
          </w:p>
        </w:tc>
      </w:tr>
      <w:tr w:rsidR="00432200" w:rsidRPr="00432200" w:rsidTr="00432200">
        <w:trPr>
          <w:trHeight w:val="9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Дублікат довідки про проходження попереднього, періодичного та позачергового психіатричних огляді</w:t>
            </w:r>
            <w:proofErr w:type="gramStart"/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, у тому числі на предмет вживання психоактивних речовин*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29,00</w:t>
            </w:r>
          </w:p>
        </w:tc>
      </w:tr>
      <w:tr w:rsidR="00432200" w:rsidRPr="00432200" w:rsidTr="00432200">
        <w:trPr>
          <w:trHeight w:val="1531"/>
        </w:trPr>
        <w:tc>
          <w:tcPr>
            <w:tcW w:w="10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*Наказ Міністерства охорони здоров'я України від 18.04.2022 №651 "Порядок проведення попередніх, періодичних та позачергових психіатричних оглядів, </w:t>
            </w:r>
            <w:proofErr w:type="gramStart"/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тому числі на предмет вживання психоактивних речовин", зареєстрований в Міністерстві  юстиції України 15 червня 2022 за №648/37984 </w:t>
            </w:r>
          </w:p>
        </w:tc>
      </w:tr>
      <w:tr w:rsidR="00432200" w:rsidRPr="00432200" w:rsidTr="00432200">
        <w:trPr>
          <w:trHeight w:val="850"/>
        </w:trPr>
        <w:tc>
          <w:tcPr>
            <w:tcW w:w="10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200" w:rsidRPr="00432200" w:rsidRDefault="00432200" w:rsidP="0043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відділу охорони здоров'я міської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gramStart"/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Людмила</w:t>
            </w:r>
            <w:proofErr w:type="gramEnd"/>
            <w:r w:rsidRPr="0043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РЕУТОВА</w:t>
            </w:r>
          </w:p>
        </w:tc>
      </w:tr>
    </w:tbl>
    <w:p w:rsidR="00432200" w:rsidRPr="00432200" w:rsidRDefault="00432200" w:rsidP="0092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2200" w:rsidRPr="00432200" w:rsidSect="00AD192F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20001"/>
    <w:rsid w:val="001414AB"/>
    <w:rsid w:val="00264C4E"/>
    <w:rsid w:val="00293E3B"/>
    <w:rsid w:val="002E1A2E"/>
    <w:rsid w:val="003500C5"/>
    <w:rsid w:val="003632F1"/>
    <w:rsid w:val="00432200"/>
    <w:rsid w:val="004D4029"/>
    <w:rsid w:val="00571A12"/>
    <w:rsid w:val="00611B5F"/>
    <w:rsid w:val="008A068E"/>
    <w:rsid w:val="00920001"/>
    <w:rsid w:val="00A87A62"/>
    <w:rsid w:val="00CA307B"/>
    <w:rsid w:val="00DA6501"/>
    <w:rsid w:val="00E04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2022-12-12T08:21:00Z</cp:lastPrinted>
  <dcterms:created xsi:type="dcterms:W3CDTF">2021-01-21T08:14:00Z</dcterms:created>
  <dcterms:modified xsi:type="dcterms:W3CDTF">2022-12-13T10:59:00Z</dcterms:modified>
</cp:coreProperties>
</file>