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CF5B58" w:rsidRDefault="00CF5B58" w:rsidP="00CF5B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2D2FAE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0D37B1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850"/>
        <w:gridCol w:w="1089"/>
        <w:gridCol w:w="1179"/>
        <w:gridCol w:w="1276"/>
        <w:gridCol w:w="1276"/>
      </w:tblGrid>
      <w:tr w:rsidR="000D37B1" w:rsidRPr="00751DE9" w:rsidTr="00F52E0A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F52E0A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52E0A" w:rsidRPr="00751DE9" w:rsidTr="00F52E0A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lang w:val="uk-UA"/>
              </w:rPr>
            </w:pPr>
            <w:r w:rsidRPr="00F52E0A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21529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21529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0D37B1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D37B1" w:rsidRDefault="00F52E0A" w:rsidP="00F52E0A">
            <w:pPr>
              <w:jc w:val="center"/>
              <w:rPr>
                <w:lang w:val="uk-UA"/>
              </w:rPr>
            </w:pPr>
            <w:r w:rsidRPr="000D37B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b/>
                <w:sz w:val="28"/>
                <w:lang w:val="uk-UA"/>
              </w:rPr>
            </w:pPr>
            <w:r w:rsidRPr="00F52E0A">
              <w:rPr>
                <w:b/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E0A">
              <w:rPr>
                <w:b/>
                <w:bCs/>
                <w:color w:val="000000"/>
                <w:sz w:val="28"/>
                <w:szCs w:val="28"/>
              </w:rPr>
              <w:t>122079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b/>
                <w:bCs/>
                <w:sz w:val="28"/>
                <w:szCs w:val="28"/>
              </w:rPr>
            </w:pPr>
            <w:r w:rsidRPr="00F52E0A">
              <w:rPr>
                <w:b/>
                <w:bCs/>
                <w:sz w:val="28"/>
                <w:szCs w:val="28"/>
              </w:rPr>
              <w:t>31326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23279</w:t>
            </w:r>
          </w:p>
        </w:tc>
      </w:tr>
      <w:tr w:rsidR="00F52E0A" w:rsidRPr="00751DE9" w:rsidTr="00F52E0A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751DE9" w:rsidRDefault="00F52E0A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  <w:szCs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710FAB" w:rsidRDefault="00F52E0A" w:rsidP="00F52E0A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E0A">
              <w:rPr>
                <w:b/>
                <w:bCs/>
                <w:color w:val="000000"/>
                <w:sz w:val="28"/>
                <w:szCs w:val="28"/>
              </w:rPr>
              <w:t>143608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E0A">
              <w:rPr>
                <w:b/>
                <w:bCs/>
                <w:color w:val="000000"/>
                <w:sz w:val="28"/>
                <w:szCs w:val="28"/>
              </w:rPr>
              <w:t>52855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  <w:szCs w:val="28"/>
              </w:rPr>
            </w:pPr>
            <w:r w:rsidRPr="00F52E0A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  <w:t xml:space="preserve">       </w:t>
      </w:r>
      <w:r w:rsidR="00B14F23">
        <w:rPr>
          <w:sz w:val="28"/>
          <w:szCs w:val="28"/>
          <w:lang w:val="uk-UA"/>
        </w:rPr>
        <w:t xml:space="preserve">      </w:t>
      </w:r>
      <w:r w:rsidR="00FD2FF3">
        <w:rPr>
          <w:sz w:val="28"/>
          <w:szCs w:val="28"/>
          <w:lang w:val="uk-UA"/>
        </w:rPr>
        <w:t>А.А.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0D37B1" w:rsidRPr="00993522" w:rsidRDefault="000D37B1" w:rsidP="000D37B1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0D37B1" w:rsidRPr="00993522" w:rsidRDefault="000D37B1" w:rsidP="000D37B1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0D37B1" w:rsidRPr="00993522" w:rsidRDefault="000D37B1" w:rsidP="000D37B1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73"/>
        <w:gridCol w:w="2411"/>
        <w:gridCol w:w="2391"/>
        <w:gridCol w:w="1162"/>
        <w:gridCol w:w="1776"/>
        <w:gridCol w:w="794"/>
        <w:gridCol w:w="755"/>
        <w:gridCol w:w="755"/>
        <w:gridCol w:w="755"/>
        <w:gridCol w:w="755"/>
        <w:gridCol w:w="2166"/>
      </w:tblGrid>
      <w:tr w:rsidR="000D37B1" w:rsidRPr="00B874EF" w:rsidTr="00F52E0A">
        <w:trPr>
          <w:trHeight w:val="585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Орієнтовні обсяги   фінансування  за роками виконання,      тис.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6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2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2E0A"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D0E74">
        <w:trPr>
          <w:trHeight w:val="25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F52E0A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F52E0A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39122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</w:t>
            </w:r>
            <w:r w:rsidRPr="00803957">
              <w:rPr>
                <w:sz w:val="21"/>
                <w:szCs w:val="21"/>
                <w:lang w:val="uk-UA"/>
              </w:rPr>
              <w:t>доріг, територій міста, запобігання дорожнього травматизму,</w:t>
            </w:r>
            <w:r w:rsidRPr="00B874EF">
              <w:rPr>
                <w:sz w:val="21"/>
                <w:szCs w:val="21"/>
                <w:lang w:val="uk-UA"/>
              </w:rPr>
              <w:t xml:space="preserve"> зміцнення дисципліни на дорогах, посилення безпеки дорожнього руху.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 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9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973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4.2 Переоснащення, капітальний і поточний ремонт та    утримання мереж зовнішнього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освітлення вулиць міста  і електроенергія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>
              <w:rPr>
                <w:sz w:val="21"/>
                <w:szCs w:val="21"/>
                <w:lang w:val="uk-UA"/>
              </w:rPr>
              <w:t>,</w:t>
            </w:r>
            <w:r w:rsidRPr="00B874EF">
              <w:rPr>
                <w:sz w:val="21"/>
                <w:szCs w:val="21"/>
                <w:lang w:val="uk-UA"/>
              </w:rPr>
              <w:t xml:space="preserve">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</w:t>
            </w:r>
            <w:r w:rsidRPr="00B874EF">
              <w:rPr>
                <w:sz w:val="21"/>
                <w:szCs w:val="21"/>
                <w:lang w:val="uk-UA"/>
              </w:rPr>
              <w:t>021  - 2025 роки</w:t>
            </w: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00A39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1807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pStyle w:val="Caption"/>
              <w:jc w:val="center"/>
              <w:rPr>
                <w:i w:val="0"/>
                <w:lang w:val="uk-UA"/>
              </w:rPr>
            </w:pPr>
            <w:r w:rsidRPr="00803957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803957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D0E74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FD0E7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1807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9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98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B874EF">
              <w:rPr>
                <w:sz w:val="20"/>
                <w:szCs w:val="20"/>
                <w:lang w:val="uk-UA"/>
              </w:rPr>
              <w:t xml:space="preserve">, </w:t>
            </w:r>
            <w:r w:rsidRPr="00B874EF">
              <w:rPr>
                <w:bCs/>
                <w:sz w:val="20"/>
                <w:szCs w:val="20"/>
                <w:lang w:val="uk-UA"/>
              </w:rPr>
              <w:t>причеп</w:t>
            </w:r>
            <w:r w:rsidRPr="00B874EF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машини, трактору з причіпним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відходами. Утримання території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5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2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4.7. Озеленення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Охорона та збереження зелених насаджень, утримання їх у здоровому, впорядкованому стані, створення нових зелених 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насаджень.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lastRenderedPageBreak/>
              <w:t>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1862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8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1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7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, придбання, огородження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1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4.11.Інвентаризація, паспортизація та експертна оцінка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об’єктів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Виготовлення технічних паспортів, звітів з розрахунку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вартості об’єктів  благоустрою.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00A39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B00A39">
              <w:rPr>
                <w:b/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00A39">
              <w:rPr>
                <w:b/>
                <w:sz w:val="21"/>
                <w:szCs w:val="21"/>
                <w:lang w:val="uk-UA"/>
              </w:rPr>
              <w:t xml:space="preserve"> міської ради</w:t>
            </w:r>
            <w:r w:rsidRPr="00B874EF">
              <w:rPr>
                <w:sz w:val="21"/>
                <w:szCs w:val="21"/>
                <w:lang w:val="uk-UA"/>
              </w:rPr>
              <w:t xml:space="preserve"> «Ритуальна служба»,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5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3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3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B874EF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B874EF">
              <w:rPr>
                <w:sz w:val="21"/>
                <w:szCs w:val="21"/>
                <w:lang w:val="uk-UA"/>
              </w:rPr>
              <w:t xml:space="preserve">єктів комунальної власності в цілях розвитку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- комунальної сфери.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4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6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підприємство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56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D0E74">
            <w:pPr>
              <w:ind w:left="-8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B874EF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B874EF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7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B00A3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52855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0D37B1" w:rsidRPr="00B874EF" w:rsidTr="00F52E0A">
        <w:trPr>
          <w:trHeight w:val="345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F52E0A">
              <w:rPr>
                <w:sz w:val="21"/>
                <w:szCs w:val="21"/>
                <w:lang w:val="uk-UA"/>
              </w:rPr>
              <w:t>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0D37B1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31326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FD2FF3">
        <w:rPr>
          <w:sz w:val="28"/>
          <w:szCs w:val="28"/>
          <w:lang w:val="uk-UA"/>
        </w:rPr>
        <w:t>А.А.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0D37B1" w:rsidRPr="00F96C38" w:rsidRDefault="000D37B1" w:rsidP="000D37B1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 xml:space="preserve">Додаток3 </w:t>
      </w:r>
    </w:p>
    <w:p w:rsidR="000D37B1" w:rsidRPr="006154CB" w:rsidRDefault="000D37B1" w:rsidP="000D37B1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0D37B1" w:rsidRPr="00F96C38" w:rsidTr="00F52E0A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0D37B1" w:rsidRPr="00F96C38" w:rsidTr="00F52E0A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0D37B1" w:rsidRPr="00F96C38" w:rsidTr="00F52E0A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0D37B1" w:rsidRPr="00F96C38" w:rsidTr="00F52E0A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0D37B1" w:rsidRPr="00F96C38" w:rsidRDefault="000D37B1" w:rsidP="00F52E0A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52E0A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км (дороги)/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</w:t>
            </w:r>
            <w:r w:rsidRPr="00F52E0A">
              <w:rPr>
                <w:sz w:val="21"/>
                <w:szCs w:val="21"/>
                <w:lang w:val="en-US"/>
              </w:rPr>
              <w:t>4</w:t>
            </w:r>
            <w:r w:rsidRPr="00F52E0A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0D37B1" w:rsidRPr="00F96C38" w:rsidTr="00F52E0A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B874EF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B874EF">
              <w:rPr>
                <w:sz w:val="22"/>
                <w:szCs w:val="22"/>
                <w:lang w:val="uk-UA"/>
              </w:rPr>
              <w:t xml:space="preserve">, </w:t>
            </w:r>
            <w:r w:rsidRPr="00B874EF">
              <w:rPr>
                <w:bCs/>
                <w:sz w:val="22"/>
                <w:szCs w:val="22"/>
                <w:lang w:val="uk-UA"/>
              </w:rPr>
              <w:t>причеп</w:t>
            </w:r>
            <w:r w:rsidRPr="00B874EF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F96C38">
              <w:rPr>
                <w:sz w:val="21"/>
                <w:szCs w:val="21"/>
                <w:lang w:val="uk-UA"/>
              </w:rPr>
              <w:t xml:space="preserve">, придбання огородження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52E0A" w:rsidRDefault="000D37B1" w:rsidP="00F52E0A">
            <w:pPr>
              <w:snapToGrid w:val="0"/>
              <w:ind w:left="147" w:right="142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F52E0A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0D37B1" w:rsidRPr="00F96C38" w:rsidRDefault="000D37B1" w:rsidP="000D37B1">
      <w:pPr>
        <w:pStyle w:val="1"/>
        <w:rPr>
          <w:rFonts w:ascii="Times New Roman" w:hAnsi="Times New Roman"/>
          <w:sz w:val="22"/>
          <w:szCs w:val="22"/>
        </w:rPr>
      </w:pPr>
    </w:p>
    <w:p w:rsidR="000D37B1" w:rsidRPr="00F96C38" w:rsidRDefault="000D37B1" w:rsidP="000D37B1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0D37B1" w:rsidRPr="00F52E0A" w:rsidRDefault="000D37B1" w:rsidP="008F1B6D">
      <w:pPr>
        <w:ind w:left="-426"/>
        <w:rPr>
          <w:sz w:val="28"/>
          <w:szCs w:val="28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  <w:t xml:space="preserve">    А.А. РОМАНОВСЬКИХ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D0C38"/>
    <w:rsid w:val="000D37B1"/>
    <w:rsid w:val="000E6409"/>
    <w:rsid w:val="000F0908"/>
    <w:rsid w:val="00100632"/>
    <w:rsid w:val="001514B3"/>
    <w:rsid w:val="001F1F6C"/>
    <w:rsid w:val="001F6342"/>
    <w:rsid w:val="0025368F"/>
    <w:rsid w:val="002D2FAE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CD364D"/>
    <w:rsid w:val="00CF5B58"/>
    <w:rsid w:val="00D16380"/>
    <w:rsid w:val="00D332E9"/>
    <w:rsid w:val="00D74412"/>
    <w:rsid w:val="00E20AA8"/>
    <w:rsid w:val="00E35C70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11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Caption">
    <w:name w:val="Caption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2021-06-24T06:00:00Z</cp:lastPrinted>
  <dcterms:created xsi:type="dcterms:W3CDTF">2021-04-19T12:24:00Z</dcterms:created>
  <dcterms:modified xsi:type="dcterms:W3CDTF">2021-06-24T06:01:00Z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