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C5" w:rsidRPr="000076C5" w:rsidRDefault="000076C5" w:rsidP="000076C5"/>
    <w:p w:rsidR="000076C5" w:rsidRPr="000076C5" w:rsidRDefault="000076C5" w:rsidP="000076C5">
      <w:pPr>
        <w:jc w:val="center"/>
      </w:pPr>
      <w:r w:rsidRPr="000076C5">
        <w:t>АНАЛІ</w:t>
      </w:r>
      <w:proofErr w:type="gramStart"/>
      <w:r w:rsidRPr="000076C5">
        <w:t>З</w:t>
      </w:r>
      <w:proofErr w:type="gramEnd"/>
      <w:r w:rsidRPr="000076C5">
        <w:t xml:space="preserve"> РЕГУЛЯТОРНОГО ВПЛИВУ</w:t>
      </w:r>
    </w:p>
    <w:p w:rsidR="000076C5" w:rsidRPr="000076C5" w:rsidRDefault="000076C5" w:rsidP="000076C5">
      <w:pPr>
        <w:ind w:firstLine="708"/>
        <w:rPr>
          <w:lang w:val="uk-UA"/>
        </w:rPr>
      </w:pPr>
      <w:r w:rsidRPr="000076C5">
        <w:t xml:space="preserve">до </w:t>
      </w:r>
      <w:proofErr w:type="spellStart"/>
      <w:proofErr w:type="gramStart"/>
      <w:r w:rsidRPr="000076C5">
        <w:t>р</w:t>
      </w:r>
      <w:proofErr w:type="gramEnd"/>
      <w:r w:rsidRPr="000076C5">
        <w:t>ішення</w:t>
      </w:r>
      <w:proofErr w:type="spellEnd"/>
      <w:r w:rsidRPr="000076C5">
        <w:t xml:space="preserve"> </w:t>
      </w:r>
      <w:proofErr w:type="spellStart"/>
      <w:r w:rsidRPr="000076C5">
        <w:t>Синельниківської</w:t>
      </w:r>
      <w:proofErr w:type="spellEnd"/>
      <w:r w:rsidRPr="000076C5">
        <w:t xml:space="preserve"> </w:t>
      </w:r>
      <w:proofErr w:type="spellStart"/>
      <w:r w:rsidRPr="000076C5">
        <w:t>міської</w:t>
      </w:r>
      <w:proofErr w:type="spellEnd"/>
      <w:r w:rsidRPr="000076C5">
        <w:t xml:space="preserve"> ради «</w:t>
      </w:r>
      <w:r w:rsidRPr="000076C5">
        <w:rPr>
          <w:lang w:val="uk-UA"/>
        </w:rPr>
        <w:t xml:space="preserve">Про внесення змін до </w:t>
      </w:r>
    </w:p>
    <w:p w:rsidR="000076C5" w:rsidRPr="000076C5" w:rsidRDefault="000076C5" w:rsidP="000076C5">
      <w:pPr>
        <w:rPr>
          <w:lang w:val="uk-UA"/>
        </w:rPr>
      </w:pPr>
      <w:r w:rsidRPr="000076C5">
        <w:rPr>
          <w:lang w:val="uk-UA"/>
        </w:rPr>
        <w:t xml:space="preserve"> </w:t>
      </w:r>
      <w:r w:rsidRPr="000076C5">
        <w:rPr>
          <w:lang w:val="uk-UA"/>
        </w:rPr>
        <w:tab/>
      </w:r>
      <w:r w:rsidRPr="000076C5">
        <w:rPr>
          <w:lang w:val="uk-UA"/>
        </w:rPr>
        <w:tab/>
        <w:t>Положення про облік і використання безхазяйного майна,</w:t>
      </w:r>
    </w:p>
    <w:p w:rsidR="000076C5" w:rsidRPr="000076C5" w:rsidRDefault="000076C5" w:rsidP="000076C5">
      <w:pPr>
        <w:ind w:left="708" w:firstLine="708"/>
        <w:rPr>
          <w:lang w:val="uk-UA"/>
        </w:rPr>
      </w:pPr>
      <w:proofErr w:type="spellStart"/>
      <w:r w:rsidRPr="000076C5">
        <w:rPr>
          <w:lang w:val="uk-UA"/>
        </w:rPr>
        <w:t>відумерлої</w:t>
      </w:r>
      <w:proofErr w:type="spellEnd"/>
      <w:r w:rsidRPr="000076C5">
        <w:rPr>
          <w:lang w:val="uk-UA"/>
        </w:rPr>
        <w:t xml:space="preserve"> спадщини, про порядок припинення </w:t>
      </w:r>
    </w:p>
    <w:p w:rsidR="000076C5" w:rsidRPr="000076C5" w:rsidRDefault="000076C5" w:rsidP="000076C5">
      <w:pPr>
        <w:ind w:left="2124" w:firstLine="708"/>
        <w:rPr>
          <w:lang w:val="uk-UA"/>
        </w:rPr>
      </w:pPr>
      <w:r w:rsidRPr="000076C5">
        <w:rPr>
          <w:lang w:val="uk-UA"/>
        </w:rPr>
        <w:t>права власності на об’єкти нерухомості</w:t>
      </w:r>
    </w:p>
    <w:p w:rsidR="000076C5" w:rsidRPr="000076C5" w:rsidRDefault="000076C5" w:rsidP="000076C5">
      <w:pPr>
        <w:ind w:left="1416"/>
        <w:rPr>
          <w:lang w:val="uk-UA"/>
        </w:rPr>
      </w:pPr>
      <w:r w:rsidRPr="000076C5">
        <w:rPr>
          <w:lang w:val="uk-UA"/>
        </w:rPr>
        <w:t xml:space="preserve">   в зв’язку з їх знищенням, у місті Синельниковому»</w:t>
      </w:r>
    </w:p>
    <w:p w:rsidR="000076C5" w:rsidRPr="000076C5" w:rsidRDefault="000076C5" w:rsidP="000076C5">
      <w:pPr>
        <w:ind w:left="705"/>
        <w:jc w:val="center"/>
        <w:rPr>
          <w:lang w:val="uk-UA"/>
        </w:rPr>
      </w:pPr>
      <w:r w:rsidRPr="000076C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6C5" w:rsidRPr="000076C5" w:rsidRDefault="000076C5" w:rsidP="000076C5">
      <w:pPr>
        <w:ind w:left="705"/>
        <w:jc w:val="both"/>
      </w:pPr>
    </w:p>
    <w:p w:rsidR="000076C5" w:rsidRPr="000076C5" w:rsidRDefault="000076C5" w:rsidP="000076C5">
      <w:pPr>
        <w:ind w:left="705"/>
        <w:jc w:val="both"/>
      </w:pPr>
      <w:r w:rsidRPr="000076C5">
        <w:tab/>
      </w:r>
      <w:proofErr w:type="spellStart"/>
      <w:r w:rsidRPr="000076C5">
        <w:t>Аналіз</w:t>
      </w:r>
      <w:proofErr w:type="spellEnd"/>
      <w:r w:rsidRPr="000076C5">
        <w:t xml:space="preserve"> регуляторного </w:t>
      </w:r>
      <w:proofErr w:type="spellStart"/>
      <w:r w:rsidRPr="000076C5">
        <w:t>впливу</w:t>
      </w:r>
      <w:proofErr w:type="spellEnd"/>
      <w:r w:rsidRPr="000076C5">
        <w:t xml:space="preserve"> </w:t>
      </w:r>
      <w:proofErr w:type="spellStart"/>
      <w:proofErr w:type="gramStart"/>
      <w:r w:rsidRPr="000076C5">
        <w:t>п</w:t>
      </w:r>
      <w:proofErr w:type="gramEnd"/>
      <w:r w:rsidRPr="000076C5">
        <w:t>ідготовлений</w:t>
      </w:r>
      <w:proofErr w:type="spellEnd"/>
      <w:r w:rsidRPr="000076C5">
        <w:t xml:space="preserve"> </w:t>
      </w:r>
      <w:proofErr w:type="spellStart"/>
      <w:r w:rsidRPr="000076C5">
        <w:t>відповідно</w:t>
      </w:r>
      <w:proofErr w:type="spellEnd"/>
      <w:r w:rsidRPr="000076C5">
        <w:t xml:space="preserve"> до </w:t>
      </w:r>
      <w:proofErr w:type="spellStart"/>
      <w:r w:rsidRPr="000076C5">
        <w:t>Законів</w:t>
      </w:r>
      <w:proofErr w:type="spellEnd"/>
      <w:r w:rsidRPr="000076C5">
        <w:t xml:space="preserve"> </w:t>
      </w:r>
      <w:proofErr w:type="spellStart"/>
      <w:r w:rsidRPr="000076C5">
        <w:t>України</w:t>
      </w:r>
      <w:proofErr w:type="spellEnd"/>
    </w:p>
    <w:p w:rsidR="000076C5" w:rsidRPr="000076C5" w:rsidRDefault="000076C5" w:rsidP="000076C5">
      <w:pPr>
        <w:jc w:val="both"/>
      </w:pPr>
      <w:r w:rsidRPr="000076C5">
        <w:t xml:space="preserve"> «</w:t>
      </w:r>
      <w:proofErr w:type="gramStart"/>
      <w:r w:rsidRPr="000076C5">
        <w:t>Про засади</w:t>
      </w:r>
      <w:proofErr w:type="gramEnd"/>
      <w:r w:rsidRPr="000076C5">
        <w:t xml:space="preserve"> </w:t>
      </w:r>
      <w:proofErr w:type="spellStart"/>
      <w:r w:rsidRPr="000076C5">
        <w:t>державної</w:t>
      </w:r>
      <w:proofErr w:type="spellEnd"/>
      <w:r w:rsidRPr="000076C5">
        <w:t xml:space="preserve"> </w:t>
      </w:r>
      <w:proofErr w:type="spellStart"/>
      <w:r w:rsidRPr="000076C5">
        <w:t>регуляторної</w:t>
      </w:r>
      <w:proofErr w:type="spellEnd"/>
      <w:r w:rsidRPr="000076C5">
        <w:t xml:space="preserve"> </w:t>
      </w:r>
      <w:proofErr w:type="spellStart"/>
      <w:r w:rsidRPr="000076C5">
        <w:t>політики</w:t>
      </w:r>
      <w:proofErr w:type="spellEnd"/>
      <w:r w:rsidRPr="000076C5">
        <w:t xml:space="preserve"> у </w:t>
      </w:r>
      <w:proofErr w:type="spellStart"/>
      <w:r w:rsidRPr="000076C5">
        <w:t>сфері</w:t>
      </w:r>
      <w:proofErr w:type="spellEnd"/>
      <w:r w:rsidRPr="000076C5">
        <w:t xml:space="preserve"> </w:t>
      </w:r>
      <w:proofErr w:type="spellStart"/>
      <w:r w:rsidRPr="000076C5">
        <w:t>господарської</w:t>
      </w:r>
      <w:proofErr w:type="spellEnd"/>
      <w:r w:rsidRPr="000076C5">
        <w:t xml:space="preserve"> </w:t>
      </w:r>
      <w:proofErr w:type="spellStart"/>
      <w:r w:rsidRPr="000076C5">
        <w:t>діяльності</w:t>
      </w:r>
      <w:proofErr w:type="spellEnd"/>
      <w:r w:rsidRPr="000076C5">
        <w:t xml:space="preserve">», </w:t>
      </w:r>
    </w:p>
    <w:p w:rsidR="000076C5" w:rsidRPr="000076C5" w:rsidRDefault="000076C5" w:rsidP="000076C5">
      <w:pPr>
        <w:jc w:val="both"/>
      </w:pPr>
      <w:r w:rsidRPr="000076C5">
        <w:t xml:space="preserve">«Про </w:t>
      </w:r>
      <w:proofErr w:type="spellStart"/>
      <w:r w:rsidRPr="000076C5">
        <w:t>місцеве</w:t>
      </w:r>
      <w:proofErr w:type="spellEnd"/>
      <w:r w:rsidRPr="000076C5">
        <w:t xml:space="preserve"> </w:t>
      </w:r>
      <w:proofErr w:type="spellStart"/>
      <w:r w:rsidRPr="000076C5">
        <w:t>самоврядування</w:t>
      </w:r>
      <w:proofErr w:type="spellEnd"/>
      <w:r w:rsidRPr="000076C5">
        <w:t xml:space="preserve"> в </w:t>
      </w:r>
      <w:proofErr w:type="spellStart"/>
      <w:r w:rsidRPr="000076C5">
        <w:t>Україні</w:t>
      </w:r>
      <w:proofErr w:type="spellEnd"/>
      <w:r w:rsidRPr="000076C5">
        <w:t xml:space="preserve">», «Методики </w:t>
      </w:r>
      <w:proofErr w:type="spellStart"/>
      <w:r w:rsidRPr="000076C5">
        <w:t>проведення</w:t>
      </w:r>
      <w:proofErr w:type="spellEnd"/>
      <w:r w:rsidRPr="000076C5">
        <w:t xml:space="preserve"> </w:t>
      </w:r>
      <w:proofErr w:type="spellStart"/>
      <w:r w:rsidRPr="000076C5">
        <w:t>аналізу</w:t>
      </w:r>
      <w:proofErr w:type="spellEnd"/>
      <w:r w:rsidRPr="000076C5">
        <w:t xml:space="preserve"> регуляторного акту», </w:t>
      </w:r>
      <w:proofErr w:type="spellStart"/>
      <w:r w:rsidRPr="000076C5">
        <w:t>затвердженої</w:t>
      </w:r>
      <w:proofErr w:type="spellEnd"/>
      <w:r w:rsidRPr="000076C5">
        <w:t xml:space="preserve"> </w:t>
      </w:r>
      <w:proofErr w:type="spellStart"/>
      <w:r w:rsidRPr="000076C5">
        <w:t>постановою</w:t>
      </w:r>
      <w:proofErr w:type="spellEnd"/>
      <w:r w:rsidRPr="000076C5">
        <w:t xml:space="preserve"> </w:t>
      </w:r>
      <w:proofErr w:type="spellStart"/>
      <w:r w:rsidRPr="000076C5">
        <w:t>Кабінету</w:t>
      </w:r>
      <w:proofErr w:type="spellEnd"/>
      <w:r w:rsidRPr="000076C5">
        <w:t xml:space="preserve"> </w:t>
      </w:r>
      <w:proofErr w:type="spellStart"/>
      <w:r w:rsidRPr="000076C5">
        <w:t>Міні</w:t>
      </w:r>
      <w:proofErr w:type="gramStart"/>
      <w:r w:rsidRPr="000076C5">
        <w:t>стр</w:t>
      </w:r>
      <w:proofErr w:type="gramEnd"/>
      <w:r w:rsidRPr="000076C5">
        <w:t>ів</w:t>
      </w:r>
      <w:proofErr w:type="spellEnd"/>
      <w:r w:rsidRPr="000076C5">
        <w:t xml:space="preserve"> </w:t>
      </w:r>
      <w:proofErr w:type="spellStart"/>
      <w:r w:rsidRPr="000076C5">
        <w:t>України</w:t>
      </w:r>
      <w:proofErr w:type="spellEnd"/>
      <w:r w:rsidRPr="000076C5">
        <w:t xml:space="preserve"> </w:t>
      </w:r>
      <w:proofErr w:type="spellStart"/>
      <w:r w:rsidRPr="000076C5">
        <w:t>від</w:t>
      </w:r>
      <w:proofErr w:type="spellEnd"/>
      <w:r w:rsidRPr="000076C5">
        <w:t xml:space="preserve"> 11 </w:t>
      </w:r>
      <w:proofErr w:type="spellStart"/>
      <w:r w:rsidRPr="000076C5">
        <w:t>березня</w:t>
      </w:r>
      <w:proofErr w:type="spellEnd"/>
      <w:r w:rsidRPr="000076C5">
        <w:t xml:space="preserve"> 2004 року № 308.</w:t>
      </w:r>
    </w:p>
    <w:p w:rsidR="000076C5" w:rsidRPr="000076C5" w:rsidRDefault="000076C5" w:rsidP="000076C5">
      <w:pPr>
        <w:numPr>
          <w:ilvl w:val="0"/>
          <w:numId w:val="1"/>
        </w:numPr>
        <w:jc w:val="both"/>
        <w:rPr>
          <w:i/>
        </w:rPr>
      </w:pPr>
      <w:proofErr w:type="spellStart"/>
      <w:r w:rsidRPr="000076C5">
        <w:rPr>
          <w:i/>
        </w:rPr>
        <w:t>Опис</w:t>
      </w:r>
      <w:proofErr w:type="spellEnd"/>
      <w:r w:rsidRPr="000076C5">
        <w:rPr>
          <w:i/>
        </w:rPr>
        <w:t xml:space="preserve"> </w:t>
      </w:r>
      <w:proofErr w:type="spellStart"/>
      <w:r w:rsidRPr="000076C5">
        <w:rPr>
          <w:i/>
        </w:rPr>
        <w:t>проблеми</w:t>
      </w:r>
      <w:proofErr w:type="spellEnd"/>
    </w:p>
    <w:p w:rsidR="000076C5" w:rsidRPr="00A03C7E" w:rsidRDefault="000076C5" w:rsidP="00A03C7E">
      <w:pPr>
        <w:ind w:firstLine="705"/>
        <w:jc w:val="both"/>
        <w:rPr>
          <w:lang w:val="uk-UA"/>
        </w:rPr>
      </w:pPr>
      <w:r w:rsidRPr="00A03C7E">
        <w:rPr>
          <w:lang w:val="uk-UA"/>
        </w:rPr>
        <w:t xml:space="preserve">За даними які надходять до виконавчих органів </w:t>
      </w:r>
      <w:proofErr w:type="spellStart"/>
      <w:r w:rsidRPr="00A03C7E">
        <w:rPr>
          <w:lang w:val="uk-UA"/>
        </w:rPr>
        <w:t>Синельниківської</w:t>
      </w:r>
      <w:proofErr w:type="spellEnd"/>
      <w:r w:rsidRPr="00A03C7E">
        <w:rPr>
          <w:lang w:val="uk-UA"/>
        </w:rPr>
        <w:t xml:space="preserve"> міської ради у</w:t>
      </w:r>
      <w:r>
        <w:rPr>
          <w:lang w:val="uk-UA"/>
        </w:rPr>
        <w:t xml:space="preserve"> </w:t>
      </w:r>
      <w:r w:rsidRPr="00A03C7E">
        <w:rPr>
          <w:lang w:val="uk-UA"/>
        </w:rPr>
        <w:t>вигляді повідомлень від громадян та організацій на території міста Синельникового встановлено факти наявності майна власник якого невідомий або відсутній, яке відповідно до</w:t>
      </w:r>
      <w:r>
        <w:rPr>
          <w:lang w:val="uk-UA"/>
        </w:rPr>
        <w:t xml:space="preserve"> </w:t>
      </w:r>
      <w:r w:rsidRPr="00A03C7E">
        <w:rPr>
          <w:lang w:val="uk-UA"/>
        </w:rPr>
        <w:t>ст</w:t>
      </w:r>
      <w:r>
        <w:rPr>
          <w:lang w:val="uk-UA"/>
        </w:rPr>
        <w:t xml:space="preserve">атті </w:t>
      </w:r>
      <w:r w:rsidRPr="00A03C7E">
        <w:rPr>
          <w:lang w:val="uk-UA"/>
        </w:rPr>
        <w:t>335 Цивільного кодексу України може бути визнано безхазяйним. Також, надходять повідомлення про майно власник якого помер</w:t>
      </w:r>
      <w:r>
        <w:rPr>
          <w:lang w:val="uk-UA"/>
        </w:rPr>
        <w:t>,</w:t>
      </w:r>
      <w:r w:rsidRPr="00A03C7E">
        <w:rPr>
          <w:color w:val="252525"/>
          <w:lang w:val="uk-UA"/>
        </w:rPr>
        <w:t xml:space="preserve"> а спадкоємці відсутні, усунуті від права спадкування або не прийняли спадщину, яке відповідно до статті 1277 Цивільного кодексу України визнається за заявою органу місцевого самоврядування </w:t>
      </w:r>
      <w:proofErr w:type="spellStart"/>
      <w:r w:rsidRPr="00A03C7E">
        <w:rPr>
          <w:color w:val="252525"/>
          <w:lang w:val="uk-UA"/>
        </w:rPr>
        <w:t>відумерлою</w:t>
      </w:r>
      <w:proofErr w:type="spellEnd"/>
      <w:r w:rsidRPr="00A03C7E">
        <w:rPr>
          <w:color w:val="252525"/>
          <w:lang w:val="uk-UA"/>
        </w:rPr>
        <w:t xml:space="preserve"> спадщиною та переходить у власність територіальної громади.</w:t>
      </w:r>
      <w:r w:rsidRPr="00A03C7E">
        <w:rPr>
          <w:lang w:val="uk-UA"/>
        </w:rPr>
        <w:tab/>
      </w:r>
      <w:r w:rsidR="00A03C7E">
        <w:rPr>
          <w:lang w:val="uk-UA"/>
        </w:rPr>
        <w:t xml:space="preserve"> </w:t>
      </w:r>
    </w:p>
    <w:p w:rsidR="000076C5" w:rsidRPr="000076C5" w:rsidRDefault="000076C5" w:rsidP="000076C5">
      <w:pPr>
        <w:jc w:val="both"/>
      </w:pPr>
      <w:r w:rsidRPr="00A03C7E">
        <w:rPr>
          <w:color w:val="252525"/>
          <w:lang w:val="uk-UA"/>
        </w:rPr>
        <w:tab/>
      </w:r>
      <w:r w:rsidRPr="000076C5">
        <w:rPr>
          <w:color w:val="252525"/>
        </w:rPr>
        <w:t xml:space="preserve">Таким чином, до </w:t>
      </w:r>
      <w:proofErr w:type="spellStart"/>
      <w:r w:rsidRPr="000076C5">
        <w:rPr>
          <w:color w:val="252525"/>
        </w:rPr>
        <w:t>комунальної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власності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територіальної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громади</w:t>
      </w:r>
      <w:proofErr w:type="spellEnd"/>
      <w:r w:rsidRPr="000076C5">
        <w:rPr>
          <w:color w:val="252525"/>
        </w:rPr>
        <w:t xml:space="preserve"> переходить право </w:t>
      </w:r>
      <w:proofErr w:type="spellStart"/>
      <w:r w:rsidRPr="000076C5">
        <w:rPr>
          <w:color w:val="252525"/>
        </w:rPr>
        <w:t>власності</w:t>
      </w:r>
      <w:proofErr w:type="spellEnd"/>
      <w:r w:rsidRPr="000076C5">
        <w:rPr>
          <w:color w:val="252525"/>
        </w:rPr>
        <w:t xml:space="preserve"> на той </w:t>
      </w:r>
      <w:proofErr w:type="spellStart"/>
      <w:r w:rsidRPr="000076C5">
        <w:rPr>
          <w:color w:val="252525"/>
        </w:rPr>
        <w:t>чи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інший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нерухомий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об’єкт</w:t>
      </w:r>
      <w:proofErr w:type="spellEnd"/>
      <w:r w:rsidRPr="000076C5">
        <w:rPr>
          <w:color w:val="252525"/>
        </w:rPr>
        <w:t xml:space="preserve">. </w:t>
      </w:r>
      <w:proofErr w:type="spellStart"/>
      <w:r w:rsidRPr="000076C5">
        <w:rPr>
          <w:color w:val="252525"/>
        </w:rPr>
        <w:t>Територіальна</w:t>
      </w:r>
      <w:proofErr w:type="spellEnd"/>
      <w:r w:rsidRPr="000076C5">
        <w:rPr>
          <w:color w:val="252525"/>
        </w:rPr>
        <w:t xml:space="preserve"> громада </w:t>
      </w:r>
      <w:proofErr w:type="spellStart"/>
      <w:r w:rsidRPr="000076C5">
        <w:rPr>
          <w:color w:val="252525"/>
        </w:rPr>
        <w:t>отримує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безумовні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вигоди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від</w:t>
      </w:r>
      <w:proofErr w:type="spellEnd"/>
      <w:r w:rsidRPr="000076C5">
        <w:rPr>
          <w:color w:val="252525"/>
        </w:rPr>
        <w:t xml:space="preserve"> права </w:t>
      </w:r>
      <w:proofErr w:type="spellStart"/>
      <w:r w:rsidRPr="000076C5">
        <w:rPr>
          <w:color w:val="252525"/>
        </w:rPr>
        <w:t>розпоряджатися</w:t>
      </w:r>
      <w:proofErr w:type="spellEnd"/>
      <w:r w:rsidRPr="000076C5">
        <w:rPr>
          <w:color w:val="252525"/>
        </w:rPr>
        <w:t xml:space="preserve"> таким </w:t>
      </w:r>
      <w:proofErr w:type="spellStart"/>
      <w:r w:rsidRPr="000076C5">
        <w:rPr>
          <w:color w:val="252525"/>
        </w:rPr>
        <w:t>майном</w:t>
      </w:r>
      <w:proofErr w:type="spellEnd"/>
      <w:r w:rsidRPr="000076C5">
        <w:rPr>
          <w:color w:val="252525"/>
        </w:rPr>
        <w:t xml:space="preserve">, а </w:t>
      </w:r>
      <w:proofErr w:type="spellStart"/>
      <w:r w:rsidRPr="000076C5">
        <w:rPr>
          <w:color w:val="252525"/>
        </w:rPr>
        <w:t>саме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вказане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майно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може</w:t>
      </w:r>
      <w:proofErr w:type="spellEnd"/>
      <w:r w:rsidRPr="000076C5">
        <w:rPr>
          <w:color w:val="252525"/>
        </w:rPr>
        <w:t xml:space="preserve"> </w:t>
      </w:r>
      <w:r>
        <w:rPr>
          <w:color w:val="252525"/>
          <w:lang w:val="uk-UA"/>
        </w:rPr>
        <w:t xml:space="preserve">бути </w:t>
      </w:r>
      <w:r w:rsidRPr="000076C5">
        <w:rPr>
          <w:color w:val="252525"/>
        </w:rPr>
        <w:t xml:space="preserve">на </w:t>
      </w:r>
      <w:proofErr w:type="spellStart"/>
      <w:r w:rsidRPr="000076C5">
        <w:rPr>
          <w:color w:val="252525"/>
        </w:rPr>
        <w:t>законних</w:t>
      </w:r>
      <w:proofErr w:type="spellEnd"/>
      <w:r w:rsidRPr="000076C5">
        <w:rPr>
          <w:color w:val="252525"/>
        </w:rPr>
        <w:t xml:space="preserve"> </w:t>
      </w:r>
      <w:proofErr w:type="spellStart"/>
      <w:proofErr w:type="gramStart"/>
      <w:r w:rsidRPr="000076C5">
        <w:rPr>
          <w:color w:val="252525"/>
        </w:rPr>
        <w:t>п</w:t>
      </w:r>
      <w:proofErr w:type="gramEnd"/>
      <w:r w:rsidRPr="000076C5">
        <w:rPr>
          <w:color w:val="252525"/>
        </w:rPr>
        <w:t>ідставах</w:t>
      </w:r>
      <w:proofErr w:type="spellEnd"/>
      <w:r w:rsidRPr="000076C5">
        <w:rPr>
          <w:color w:val="252525"/>
        </w:rPr>
        <w:t xml:space="preserve"> передано в </w:t>
      </w:r>
      <w:proofErr w:type="spellStart"/>
      <w:r w:rsidRPr="000076C5">
        <w:rPr>
          <w:color w:val="252525"/>
        </w:rPr>
        <w:t>оренду</w:t>
      </w:r>
      <w:proofErr w:type="spellEnd"/>
      <w:r w:rsidRPr="000076C5">
        <w:rPr>
          <w:color w:val="252525"/>
        </w:rPr>
        <w:t xml:space="preserve">, </w:t>
      </w:r>
      <w:proofErr w:type="spellStart"/>
      <w:r w:rsidRPr="000076C5">
        <w:rPr>
          <w:color w:val="252525"/>
        </w:rPr>
        <w:t>відчужено</w:t>
      </w:r>
      <w:proofErr w:type="spellEnd"/>
      <w:r w:rsidRPr="000076C5">
        <w:rPr>
          <w:color w:val="252525"/>
        </w:rPr>
        <w:t xml:space="preserve">, </w:t>
      </w:r>
      <w:proofErr w:type="spellStart"/>
      <w:r w:rsidRPr="000076C5">
        <w:rPr>
          <w:color w:val="252525"/>
        </w:rPr>
        <w:t>закладено</w:t>
      </w:r>
      <w:proofErr w:type="spellEnd"/>
      <w:r>
        <w:rPr>
          <w:color w:val="252525"/>
          <w:lang w:val="uk-UA"/>
        </w:rPr>
        <w:t xml:space="preserve">, </w:t>
      </w:r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тощо</w:t>
      </w:r>
      <w:proofErr w:type="spellEnd"/>
      <w:r w:rsidRPr="000076C5">
        <w:rPr>
          <w:color w:val="252525"/>
        </w:rPr>
        <w:t xml:space="preserve">. </w:t>
      </w:r>
      <w:proofErr w:type="spellStart"/>
      <w:r w:rsidRPr="000076C5">
        <w:rPr>
          <w:color w:val="252525"/>
        </w:rPr>
        <w:t>Це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допоможе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суттєво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збільшити</w:t>
      </w:r>
      <w:proofErr w:type="spellEnd"/>
      <w:r w:rsidRPr="000076C5">
        <w:rPr>
          <w:color w:val="252525"/>
        </w:rPr>
        <w:t xml:space="preserve"> доходи </w:t>
      </w:r>
      <w:proofErr w:type="spellStart"/>
      <w:proofErr w:type="gramStart"/>
      <w:r w:rsidRPr="000076C5">
        <w:rPr>
          <w:color w:val="252525"/>
        </w:rPr>
        <w:t>м</w:t>
      </w:r>
      <w:proofErr w:type="gramEnd"/>
      <w:r w:rsidRPr="000076C5">
        <w:rPr>
          <w:color w:val="252525"/>
        </w:rPr>
        <w:t>ісцевого</w:t>
      </w:r>
      <w:proofErr w:type="spellEnd"/>
      <w:r w:rsidRPr="000076C5">
        <w:rPr>
          <w:color w:val="252525"/>
        </w:rPr>
        <w:t xml:space="preserve"> бюджету. </w:t>
      </w:r>
      <w:proofErr w:type="spellStart"/>
      <w:r w:rsidRPr="000076C5">
        <w:rPr>
          <w:color w:val="252525"/>
        </w:rPr>
        <w:t>Однак</w:t>
      </w:r>
      <w:proofErr w:type="spellEnd"/>
      <w:r w:rsidRPr="000076C5">
        <w:rPr>
          <w:color w:val="252525"/>
        </w:rPr>
        <w:t xml:space="preserve">, </w:t>
      </w:r>
      <w:proofErr w:type="spellStart"/>
      <w:r w:rsidR="00546CD2">
        <w:t>Цивільний</w:t>
      </w:r>
      <w:proofErr w:type="spellEnd"/>
      <w:r w:rsidR="00546CD2">
        <w:t xml:space="preserve"> кодекс </w:t>
      </w:r>
      <w:proofErr w:type="spellStart"/>
      <w:r w:rsidR="00546CD2">
        <w:t>України</w:t>
      </w:r>
      <w:proofErr w:type="spellEnd"/>
      <w:r w:rsidR="00546CD2">
        <w:t xml:space="preserve"> (</w:t>
      </w:r>
      <w:proofErr w:type="spellStart"/>
      <w:r w:rsidRPr="000076C5">
        <w:t>статті</w:t>
      </w:r>
      <w:proofErr w:type="spellEnd"/>
      <w:r w:rsidRPr="000076C5">
        <w:t xml:space="preserve"> 335,1277 ) не </w:t>
      </w:r>
      <w:proofErr w:type="spellStart"/>
      <w:r w:rsidRPr="000076C5">
        <w:t>нада</w:t>
      </w:r>
      <w:r>
        <w:rPr>
          <w:lang w:val="uk-UA"/>
        </w:rPr>
        <w:t>ють</w:t>
      </w:r>
      <w:proofErr w:type="spellEnd"/>
      <w:r>
        <w:rPr>
          <w:lang w:val="uk-UA"/>
        </w:rPr>
        <w:t xml:space="preserve"> </w:t>
      </w:r>
      <w:proofErr w:type="spellStart"/>
      <w:r w:rsidRPr="000076C5">
        <w:t>чіткої</w:t>
      </w:r>
      <w:proofErr w:type="spellEnd"/>
      <w:r w:rsidRPr="000076C5">
        <w:t xml:space="preserve"> </w:t>
      </w:r>
      <w:proofErr w:type="spellStart"/>
      <w:proofErr w:type="gramStart"/>
      <w:r w:rsidRPr="000076C5">
        <w:t>посл</w:t>
      </w:r>
      <w:proofErr w:type="gramEnd"/>
      <w:r w:rsidRPr="000076C5">
        <w:t>ідовності</w:t>
      </w:r>
      <w:proofErr w:type="spellEnd"/>
      <w:r w:rsidRPr="000076C5">
        <w:t xml:space="preserve"> </w:t>
      </w:r>
      <w:proofErr w:type="spellStart"/>
      <w:r w:rsidRPr="000076C5">
        <w:t>дій</w:t>
      </w:r>
      <w:proofErr w:type="spellEnd"/>
      <w:r w:rsidRPr="000076C5">
        <w:t xml:space="preserve"> </w:t>
      </w:r>
      <w:proofErr w:type="spellStart"/>
      <w:r w:rsidRPr="000076C5">
        <w:t>органів</w:t>
      </w:r>
      <w:proofErr w:type="spellEnd"/>
      <w:r w:rsidRPr="000076C5">
        <w:t xml:space="preserve"> </w:t>
      </w:r>
      <w:proofErr w:type="spellStart"/>
      <w:r w:rsidRPr="000076C5">
        <w:t>місцевого</w:t>
      </w:r>
      <w:proofErr w:type="spellEnd"/>
      <w:r w:rsidRPr="000076C5">
        <w:t xml:space="preserve"> </w:t>
      </w:r>
      <w:proofErr w:type="spellStart"/>
      <w:r w:rsidRPr="000076C5">
        <w:t>самоврядування</w:t>
      </w:r>
      <w:proofErr w:type="spellEnd"/>
      <w:r w:rsidRPr="000076C5">
        <w:t xml:space="preserve"> </w:t>
      </w:r>
      <w:r w:rsidR="00A03C7E">
        <w:rPr>
          <w:lang w:val="uk-UA"/>
        </w:rPr>
        <w:t xml:space="preserve">щодо виявлення безхазяйного майна, </w:t>
      </w:r>
      <w:proofErr w:type="spellStart"/>
      <w:r w:rsidR="00A03C7E">
        <w:rPr>
          <w:lang w:val="uk-UA"/>
        </w:rPr>
        <w:t>відумерлої</w:t>
      </w:r>
      <w:proofErr w:type="spellEnd"/>
      <w:r w:rsidR="00A03C7E">
        <w:rPr>
          <w:lang w:val="uk-UA"/>
        </w:rPr>
        <w:t xml:space="preserve"> спадщини, проведенн</w:t>
      </w:r>
      <w:r w:rsidR="00546CD2">
        <w:rPr>
          <w:lang w:val="uk-UA"/>
        </w:rPr>
        <w:t>я</w:t>
      </w:r>
      <w:r w:rsidR="00A03C7E">
        <w:rPr>
          <w:lang w:val="uk-UA"/>
        </w:rPr>
        <w:t xml:space="preserve"> заходів по цим </w:t>
      </w:r>
      <w:proofErr w:type="spellStart"/>
      <w:r w:rsidR="00A03C7E">
        <w:rPr>
          <w:lang w:val="uk-UA"/>
        </w:rPr>
        <w:t>об’</w:t>
      </w:r>
      <w:r w:rsidR="00546CD2">
        <w:t>єктам</w:t>
      </w:r>
      <w:proofErr w:type="spellEnd"/>
      <w:r w:rsidR="00546CD2">
        <w:rPr>
          <w:lang w:val="uk-UA"/>
        </w:rPr>
        <w:t>.</w:t>
      </w:r>
      <w:r w:rsidR="00A03C7E">
        <w:rPr>
          <w:lang w:val="uk-UA"/>
        </w:rPr>
        <w:t xml:space="preserve"> Окрім цього, в практиці зустрічаються випадки</w:t>
      </w:r>
      <w:r w:rsidR="00546CD2">
        <w:rPr>
          <w:lang w:val="uk-UA"/>
        </w:rPr>
        <w:t xml:space="preserve">, </w:t>
      </w:r>
      <w:r w:rsidR="00A03C7E">
        <w:rPr>
          <w:lang w:val="uk-UA"/>
        </w:rPr>
        <w:t xml:space="preserve">коли виявляється покинуте, фактично знищене майно, яке не можна віднести ні до </w:t>
      </w:r>
      <w:proofErr w:type="spellStart"/>
      <w:r w:rsidR="00A03C7E">
        <w:rPr>
          <w:lang w:val="uk-UA"/>
        </w:rPr>
        <w:t>відумерлої</w:t>
      </w:r>
      <w:proofErr w:type="spellEnd"/>
      <w:r w:rsidR="00A03C7E">
        <w:rPr>
          <w:lang w:val="uk-UA"/>
        </w:rPr>
        <w:t xml:space="preserve"> спадщини ні до безхазяйного майна. </w:t>
      </w:r>
    </w:p>
    <w:p w:rsidR="000076C5" w:rsidRPr="000076C5" w:rsidRDefault="000076C5" w:rsidP="000076C5">
      <w:pPr>
        <w:jc w:val="both"/>
        <w:rPr>
          <w:color w:val="252525"/>
        </w:rPr>
      </w:pPr>
      <w:r w:rsidRPr="000076C5">
        <w:rPr>
          <w:color w:val="252525"/>
        </w:rPr>
        <w:tab/>
      </w:r>
      <w:proofErr w:type="spellStart"/>
      <w:r w:rsidRPr="000076C5">
        <w:rPr>
          <w:color w:val="252525"/>
        </w:rPr>
        <w:t>Існуюча</w:t>
      </w:r>
      <w:proofErr w:type="spellEnd"/>
      <w:r w:rsidRPr="000076C5">
        <w:rPr>
          <w:color w:val="252525"/>
        </w:rPr>
        <w:t xml:space="preserve"> проблема </w:t>
      </w:r>
      <w:proofErr w:type="spellStart"/>
      <w:proofErr w:type="gramStart"/>
      <w:r w:rsidRPr="000076C5">
        <w:rPr>
          <w:color w:val="252525"/>
        </w:rPr>
        <w:t>пов’язана</w:t>
      </w:r>
      <w:proofErr w:type="spellEnd"/>
      <w:proofErr w:type="gram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із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відсутністю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реальних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механізмів</w:t>
      </w:r>
      <w:proofErr w:type="spellEnd"/>
      <w:r w:rsidRPr="000076C5">
        <w:rPr>
          <w:color w:val="252525"/>
        </w:rPr>
        <w:t xml:space="preserve"> </w:t>
      </w:r>
      <w:r w:rsidR="00546CD2">
        <w:rPr>
          <w:color w:val="252525"/>
          <w:lang w:val="uk-UA"/>
        </w:rPr>
        <w:t xml:space="preserve">припинення права власності на знищене майно без заяви власника, виявлення </w:t>
      </w:r>
      <w:proofErr w:type="spellStart"/>
      <w:r w:rsidRPr="000076C5">
        <w:rPr>
          <w:color w:val="252525"/>
        </w:rPr>
        <w:t>безхазяйного</w:t>
      </w:r>
      <w:proofErr w:type="spellEnd"/>
      <w:r w:rsidRPr="000076C5">
        <w:rPr>
          <w:color w:val="252525"/>
        </w:rPr>
        <w:t xml:space="preserve"> </w:t>
      </w:r>
      <w:proofErr w:type="spellStart"/>
      <w:r w:rsidRPr="000076C5">
        <w:rPr>
          <w:color w:val="252525"/>
        </w:rPr>
        <w:t>нерухомого</w:t>
      </w:r>
      <w:proofErr w:type="spellEnd"/>
      <w:r w:rsidRPr="000076C5">
        <w:rPr>
          <w:color w:val="252525"/>
        </w:rPr>
        <w:t xml:space="preserve"> майна, </w:t>
      </w:r>
      <w:proofErr w:type="spellStart"/>
      <w:r w:rsidR="00546CD2">
        <w:rPr>
          <w:color w:val="252525"/>
          <w:lang w:val="uk-UA"/>
        </w:rPr>
        <w:t>відумерлої</w:t>
      </w:r>
      <w:proofErr w:type="spellEnd"/>
      <w:r w:rsidR="00546CD2">
        <w:rPr>
          <w:color w:val="252525"/>
          <w:lang w:val="uk-UA"/>
        </w:rPr>
        <w:t xml:space="preserve"> спадщини.</w:t>
      </w:r>
    </w:p>
    <w:p w:rsidR="000076C5" w:rsidRPr="000076C5" w:rsidRDefault="000076C5" w:rsidP="000076C5">
      <w:pPr>
        <w:numPr>
          <w:ilvl w:val="0"/>
          <w:numId w:val="1"/>
        </w:numPr>
        <w:jc w:val="both"/>
        <w:rPr>
          <w:i/>
          <w:lang w:val="uk-UA"/>
        </w:rPr>
      </w:pPr>
      <w:proofErr w:type="spellStart"/>
      <w:r w:rsidRPr="000076C5">
        <w:rPr>
          <w:i/>
          <w:color w:val="252525"/>
          <w:lang w:val="en-US"/>
        </w:rPr>
        <w:t>Мета</w:t>
      </w:r>
      <w:proofErr w:type="spellEnd"/>
      <w:r w:rsidRPr="000076C5">
        <w:rPr>
          <w:i/>
          <w:color w:val="252525"/>
          <w:lang w:val="en-US"/>
        </w:rPr>
        <w:t xml:space="preserve"> </w:t>
      </w:r>
      <w:proofErr w:type="spellStart"/>
      <w:r w:rsidRPr="000076C5">
        <w:rPr>
          <w:i/>
          <w:color w:val="252525"/>
          <w:lang w:val="en-US"/>
        </w:rPr>
        <w:t>та</w:t>
      </w:r>
      <w:proofErr w:type="spellEnd"/>
      <w:r w:rsidRPr="000076C5">
        <w:rPr>
          <w:i/>
          <w:color w:val="252525"/>
          <w:lang w:val="en-US"/>
        </w:rPr>
        <w:t xml:space="preserve"> </w:t>
      </w:r>
      <w:proofErr w:type="spellStart"/>
      <w:r w:rsidRPr="000076C5">
        <w:rPr>
          <w:i/>
          <w:color w:val="252525"/>
          <w:lang w:val="en-US"/>
        </w:rPr>
        <w:t>завдання</w:t>
      </w:r>
      <w:proofErr w:type="spellEnd"/>
      <w:r w:rsidRPr="000076C5">
        <w:rPr>
          <w:i/>
          <w:color w:val="252525"/>
          <w:lang w:val="en-US"/>
        </w:rPr>
        <w:t xml:space="preserve"> </w:t>
      </w:r>
      <w:proofErr w:type="spellStart"/>
      <w:r w:rsidRPr="000076C5">
        <w:rPr>
          <w:i/>
          <w:color w:val="252525"/>
          <w:lang w:val="en-US"/>
        </w:rPr>
        <w:t>регулювання</w:t>
      </w:r>
      <w:proofErr w:type="spellEnd"/>
    </w:p>
    <w:p w:rsidR="000076C5" w:rsidRPr="00D0416D" w:rsidRDefault="000076C5" w:rsidP="000076C5">
      <w:pPr>
        <w:ind w:firstLine="705"/>
        <w:jc w:val="both"/>
      </w:pPr>
      <w:proofErr w:type="spellStart"/>
      <w:r w:rsidRPr="000076C5">
        <w:t>Запропонований</w:t>
      </w:r>
      <w:proofErr w:type="spellEnd"/>
      <w:r w:rsidRPr="000076C5">
        <w:t xml:space="preserve"> проект </w:t>
      </w:r>
      <w:proofErr w:type="spellStart"/>
      <w:proofErr w:type="gramStart"/>
      <w:r w:rsidRPr="000076C5">
        <w:t>р</w:t>
      </w:r>
      <w:proofErr w:type="gramEnd"/>
      <w:r w:rsidRPr="000076C5">
        <w:t>ішення</w:t>
      </w:r>
      <w:proofErr w:type="spellEnd"/>
      <w:r w:rsidRPr="000076C5">
        <w:t xml:space="preserve"> </w:t>
      </w:r>
      <w:proofErr w:type="spellStart"/>
      <w:r w:rsidRPr="000076C5">
        <w:t>має</w:t>
      </w:r>
      <w:proofErr w:type="spellEnd"/>
      <w:r w:rsidRPr="000076C5">
        <w:t xml:space="preserve"> на </w:t>
      </w:r>
      <w:proofErr w:type="spellStart"/>
      <w:r w:rsidRPr="000076C5">
        <w:t>меті</w:t>
      </w:r>
      <w:proofErr w:type="spellEnd"/>
      <w:r w:rsidRPr="000076C5">
        <w:t xml:space="preserve"> </w:t>
      </w:r>
      <w:proofErr w:type="spellStart"/>
      <w:r w:rsidRPr="000076C5">
        <w:t>впорядкувати</w:t>
      </w:r>
      <w:proofErr w:type="spellEnd"/>
      <w:r w:rsidRPr="000076C5">
        <w:t xml:space="preserve"> </w:t>
      </w:r>
      <w:proofErr w:type="spellStart"/>
      <w:r w:rsidRPr="000076C5">
        <w:t>діяльність</w:t>
      </w:r>
      <w:proofErr w:type="spellEnd"/>
      <w:r w:rsidRPr="000076C5">
        <w:t xml:space="preserve"> орган</w:t>
      </w:r>
      <w:r w:rsidR="00D0416D">
        <w:rPr>
          <w:lang w:val="uk-UA"/>
        </w:rPr>
        <w:t>у</w:t>
      </w:r>
      <w:r w:rsidRPr="000076C5">
        <w:t xml:space="preserve"> </w:t>
      </w:r>
      <w:proofErr w:type="spellStart"/>
      <w:r w:rsidRPr="000076C5">
        <w:t>місцевого</w:t>
      </w:r>
      <w:proofErr w:type="spellEnd"/>
      <w:r w:rsidRPr="000076C5">
        <w:t xml:space="preserve"> </w:t>
      </w:r>
      <w:proofErr w:type="spellStart"/>
      <w:r w:rsidRPr="000076C5">
        <w:t>самоврядування</w:t>
      </w:r>
      <w:proofErr w:type="spellEnd"/>
      <w:r w:rsidRPr="000076C5">
        <w:t xml:space="preserve"> </w:t>
      </w:r>
      <w:proofErr w:type="spellStart"/>
      <w:r w:rsidRPr="000076C5">
        <w:t>міста</w:t>
      </w:r>
      <w:proofErr w:type="spellEnd"/>
      <w:r w:rsidRPr="000076C5">
        <w:t xml:space="preserve"> </w:t>
      </w:r>
      <w:r w:rsidR="00D0416D">
        <w:rPr>
          <w:lang w:val="uk-UA"/>
        </w:rPr>
        <w:t xml:space="preserve">Синельникове, </w:t>
      </w:r>
      <w:proofErr w:type="spellStart"/>
      <w:r w:rsidRPr="000076C5">
        <w:t>щодо</w:t>
      </w:r>
      <w:proofErr w:type="spellEnd"/>
      <w:r w:rsidRPr="000076C5">
        <w:t xml:space="preserve"> </w:t>
      </w:r>
      <w:proofErr w:type="spellStart"/>
      <w:r w:rsidRPr="000076C5">
        <w:t>виявлення</w:t>
      </w:r>
      <w:proofErr w:type="spellEnd"/>
      <w:r w:rsidRPr="000076C5">
        <w:t xml:space="preserve">, </w:t>
      </w:r>
      <w:proofErr w:type="spellStart"/>
      <w:r w:rsidRPr="000076C5">
        <w:t>взяття</w:t>
      </w:r>
      <w:proofErr w:type="spellEnd"/>
      <w:r w:rsidRPr="000076C5">
        <w:t xml:space="preserve"> на </w:t>
      </w:r>
      <w:proofErr w:type="spellStart"/>
      <w:r w:rsidRPr="000076C5">
        <w:t>облік</w:t>
      </w:r>
      <w:proofErr w:type="spellEnd"/>
      <w:r w:rsidRPr="000076C5">
        <w:t xml:space="preserve"> та </w:t>
      </w:r>
      <w:proofErr w:type="spellStart"/>
      <w:r w:rsidRPr="000076C5">
        <w:t>підготовки</w:t>
      </w:r>
      <w:proofErr w:type="spellEnd"/>
      <w:r w:rsidRPr="000076C5">
        <w:t xml:space="preserve"> заяви до суду про передачу </w:t>
      </w:r>
      <w:proofErr w:type="spellStart"/>
      <w:r w:rsidRPr="000076C5">
        <w:t>зазначеного</w:t>
      </w:r>
      <w:proofErr w:type="spellEnd"/>
      <w:r w:rsidRPr="000076C5">
        <w:t xml:space="preserve"> майна у </w:t>
      </w:r>
      <w:proofErr w:type="spellStart"/>
      <w:r w:rsidRPr="000076C5">
        <w:t>комунальну</w:t>
      </w:r>
      <w:proofErr w:type="spellEnd"/>
      <w:r w:rsidRPr="000076C5">
        <w:t xml:space="preserve"> </w:t>
      </w:r>
      <w:proofErr w:type="spellStart"/>
      <w:r w:rsidRPr="000076C5">
        <w:t>власність</w:t>
      </w:r>
      <w:proofErr w:type="spellEnd"/>
      <w:r w:rsidRPr="000076C5">
        <w:t xml:space="preserve"> </w:t>
      </w:r>
      <w:proofErr w:type="spellStart"/>
      <w:r w:rsidRPr="000076C5">
        <w:t>міста</w:t>
      </w:r>
      <w:proofErr w:type="spellEnd"/>
      <w:r w:rsidRPr="000076C5">
        <w:t xml:space="preserve"> </w:t>
      </w:r>
      <w:proofErr w:type="spellStart"/>
      <w:r w:rsidRPr="000076C5">
        <w:t>Синельникового</w:t>
      </w:r>
      <w:proofErr w:type="spellEnd"/>
      <w:r w:rsidRPr="000076C5">
        <w:t xml:space="preserve"> </w:t>
      </w:r>
      <w:proofErr w:type="spellStart"/>
      <w:r w:rsidRPr="000076C5">
        <w:t>відповідно</w:t>
      </w:r>
      <w:proofErr w:type="spellEnd"/>
      <w:r w:rsidRPr="000076C5">
        <w:t xml:space="preserve"> до </w:t>
      </w:r>
      <w:proofErr w:type="spellStart"/>
      <w:r w:rsidRPr="000076C5">
        <w:t>вимог</w:t>
      </w:r>
      <w:proofErr w:type="spellEnd"/>
      <w:r w:rsidRPr="000076C5">
        <w:t xml:space="preserve"> </w:t>
      </w:r>
      <w:proofErr w:type="spellStart"/>
      <w:r w:rsidRPr="000076C5">
        <w:t>Цивільного</w:t>
      </w:r>
      <w:proofErr w:type="spellEnd"/>
      <w:r w:rsidRPr="000076C5">
        <w:t xml:space="preserve"> кодексу </w:t>
      </w:r>
      <w:proofErr w:type="spellStart"/>
      <w:r w:rsidRPr="000076C5">
        <w:t>України</w:t>
      </w:r>
      <w:proofErr w:type="spellEnd"/>
      <w:r w:rsidR="00D0416D">
        <w:rPr>
          <w:lang w:val="uk-UA"/>
        </w:rPr>
        <w:t xml:space="preserve">, або припинення права власності на </w:t>
      </w:r>
      <w:proofErr w:type="spellStart"/>
      <w:r w:rsidR="00D0416D">
        <w:rPr>
          <w:lang w:val="uk-UA"/>
        </w:rPr>
        <w:t>об’</w:t>
      </w:r>
      <w:r w:rsidR="00D0416D" w:rsidRPr="00D0416D">
        <w:t>єкти</w:t>
      </w:r>
      <w:proofErr w:type="spellEnd"/>
      <w:r w:rsidR="00D0416D" w:rsidRPr="00D0416D">
        <w:t xml:space="preserve"> в </w:t>
      </w:r>
      <w:proofErr w:type="spellStart"/>
      <w:r w:rsidR="00D0416D" w:rsidRPr="00D0416D">
        <w:t>зв’язку</w:t>
      </w:r>
      <w:proofErr w:type="spellEnd"/>
      <w:r w:rsidR="00D0416D" w:rsidRPr="00D0416D">
        <w:t xml:space="preserve"> </w:t>
      </w:r>
      <w:proofErr w:type="spellStart"/>
      <w:r w:rsidR="00D0416D" w:rsidRPr="00D0416D">
        <w:t>з</w:t>
      </w:r>
      <w:proofErr w:type="spellEnd"/>
      <w:r w:rsidR="00D0416D" w:rsidRPr="00D0416D">
        <w:t xml:space="preserve"> </w:t>
      </w:r>
      <w:proofErr w:type="spellStart"/>
      <w:r w:rsidR="00D0416D" w:rsidRPr="00D0416D">
        <w:t>їх</w:t>
      </w:r>
      <w:proofErr w:type="spellEnd"/>
      <w:r w:rsidR="00D0416D" w:rsidRPr="00D0416D">
        <w:t xml:space="preserve"> </w:t>
      </w:r>
      <w:proofErr w:type="spellStart"/>
      <w:r w:rsidR="00D0416D" w:rsidRPr="00D0416D">
        <w:t>знищенням</w:t>
      </w:r>
      <w:proofErr w:type="spellEnd"/>
      <w:r w:rsidR="00D0416D" w:rsidRPr="00D0416D">
        <w:t>.</w:t>
      </w:r>
    </w:p>
    <w:p w:rsidR="000076C5" w:rsidRPr="000076C5" w:rsidRDefault="000076C5" w:rsidP="000076C5">
      <w:pPr>
        <w:ind w:firstLine="705"/>
        <w:jc w:val="both"/>
      </w:pPr>
      <w:r w:rsidRPr="000076C5">
        <w:tab/>
      </w:r>
      <w:proofErr w:type="spellStart"/>
      <w:proofErr w:type="gramStart"/>
      <w:r w:rsidRPr="000076C5">
        <w:t>Р</w:t>
      </w:r>
      <w:proofErr w:type="gramEnd"/>
      <w:r w:rsidRPr="000076C5">
        <w:t>ішенням</w:t>
      </w:r>
      <w:proofErr w:type="spellEnd"/>
      <w:r w:rsidRPr="000076C5">
        <w:t xml:space="preserve"> </w:t>
      </w:r>
      <w:proofErr w:type="spellStart"/>
      <w:r w:rsidRPr="000076C5">
        <w:t>передбачається</w:t>
      </w:r>
      <w:proofErr w:type="spellEnd"/>
      <w:r w:rsidRPr="000076C5">
        <w:t xml:space="preserve"> </w:t>
      </w:r>
      <w:proofErr w:type="spellStart"/>
      <w:r w:rsidRPr="000076C5">
        <w:t>затвердити</w:t>
      </w:r>
      <w:proofErr w:type="spellEnd"/>
      <w:r w:rsidRPr="000076C5">
        <w:t xml:space="preserve"> порядок </w:t>
      </w:r>
      <w:proofErr w:type="spellStart"/>
      <w:r w:rsidRPr="000076C5">
        <w:t>обліку</w:t>
      </w:r>
      <w:proofErr w:type="spellEnd"/>
      <w:r w:rsidRPr="000076C5">
        <w:t xml:space="preserve"> </w:t>
      </w:r>
      <w:proofErr w:type="spellStart"/>
      <w:r w:rsidRPr="000076C5">
        <w:t>безхазяйного</w:t>
      </w:r>
      <w:proofErr w:type="spellEnd"/>
      <w:r w:rsidRPr="000076C5">
        <w:t xml:space="preserve"> майна та </w:t>
      </w:r>
      <w:proofErr w:type="spellStart"/>
      <w:r w:rsidRPr="000076C5">
        <w:t>відумерлої</w:t>
      </w:r>
      <w:proofErr w:type="spellEnd"/>
      <w:r w:rsidRPr="000076C5">
        <w:t xml:space="preserve"> </w:t>
      </w:r>
      <w:proofErr w:type="spellStart"/>
      <w:r w:rsidRPr="000076C5">
        <w:t>спадщини</w:t>
      </w:r>
      <w:proofErr w:type="spellEnd"/>
      <w:r w:rsidRPr="000076C5">
        <w:t xml:space="preserve"> </w:t>
      </w:r>
      <w:proofErr w:type="spellStart"/>
      <w:r w:rsidRPr="000076C5">
        <w:t>який</w:t>
      </w:r>
      <w:proofErr w:type="spellEnd"/>
      <w:r w:rsidRPr="000076C5">
        <w:t xml:space="preserve"> </w:t>
      </w:r>
      <w:proofErr w:type="spellStart"/>
      <w:r w:rsidRPr="000076C5">
        <w:t>мав</w:t>
      </w:r>
      <w:proofErr w:type="spellEnd"/>
      <w:r w:rsidRPr="000076C5">
        <w:t xml:space="preserve"> </w:t>
      </w:r>
      <w:proofErr w:type="spellStart"/>
      <w:r w:rsidRPr="000076C5">
        <w:t>би</w:t>
      </w:r>
      <w:proofErr w:type="spellEnd"/>
      <w:r w:rsidRPr="000076C5">
        <w:t xml:space="preserve"> </w:t>
      </w:r>
      <w:proofErr w:type="spellStart"/>
      <w:r w:rsidRPr="000076C5">
        <w:t>конкретизувати</w:t>
      </w:r>
      <w:proofErr w:type="spellEnd"/>
      <w:r w:rsidRPr="000076C5">
        <w:t xml:space="preserve"> порядок </w:t>
      </w:r>
      <w:proofErr w:type="spellStart"/>
      <w:r w:rsidRPr="000076C5">
        <w:t>здійснення</w:t>
      </w:r>
      <w:proofErr w:type="spellEnd"/>
      <w:r w:rsidRPr="000076C5">
        <w:t xml:space="preserve"> </w:t>
      </w:r>
      <w:proofErr w:type="spellStart"/>
      <w:r w:rsidRPr="000076C5">
        <w:t>зазначеної</w:t>
      </w:r>
      <w:proofErr w:type="spellEnd"/>
      <w:r w:rsidRPr="000076C5">
        <w:t xml:space="preserve"> </w:t>
      </w:r>
      <w:proofErr w:type="spellStart"/>
      <w:r w:rsidRPr="000076C5">
        <w:lastRenderedPageBreak/>
        <w:t>діяльності</w:t>
      </w:r>
      <w:proofErr w:type="spellEnd"/>
      <w:r w:rsidRPr="000076C5">
        <w:t xml:space="preserve"> </w:t>
      </w:r>
      <w:proofErr w:type="spellStart"/>
      <w:r w:rsidRPr="000076C5">
        <w:t>відповідно</w:t>
      </w:r>
      <w:proofErr w:type="spellEnd"/>
      <w:r w:rsidRPr="000076C5">
        <w:t xml:space="preserve"> до </w:t>
      </w:r>
      <w:proofErr w:type="spellStart"/>
      <w:r w:rsidRPr="000076C5">
        <w:t>існуючої</w:t>
      </w:r>
      <w:proofErr w:type="spellEnd"/>
      <w:r w:rsidRPr="000076C5">
        <w:t xml:space="preserve"> </w:t>
      </w:r>
      <w:proofErr w:type="spellStart"/>
      <w:r w:rsidRPr="000076C5">
        <w:t>організаційно</w:t>
      </w:r>
      <w:proofErr w:type="spellEnd"/>
      <w:r w:rsidRPr="000076C5">
        <w:t xml:space="preserve"> – </w:t>
      </w:r>
      <w:proofErr w:type="spellStart"/>
      <w:r w:rsidRPr="000076C5">
        <w:t>адміністративної</w:t>
      </w:r>
      <w:proofErr w:type="spellEnd"/>
      <w:r w:rsidRPr="000076C5">
        <w:t xml:space="preserve"> та </w:t>
      </w:r>
      <w:proofErr w:type="spellStart"/>
      <w:r w:rsidRPr="000076C5">
        <w:t>функціональної</w:t>
      </w:r>
      <w:proofErr w:type="spellEnd"/>
      <w:r w:rsidRPr="000076C5">
        <w:t xml:space="preserve"> </w:t>
      </w:r>
      <w:proofErr w:type="spellStart"/>
      <w:r w:rsidRPr="000076C5">
        <w:t>структури</w:t>
      </w:r>
      <w:proofErr w:type="spellEnd"/>
      <w:r w:rsidRPr="000076C5">
        <w:t xml:space="preserve"> </w:t>
      </w:r>
      <w:proofErr w:type="spellStart"/>
      <w:r w:rsidRPr="000076C5">
        <w:t>місцевого</w:t>
      </w:r>
      <w:proofErr w:type="spellEnd"/>
      <w:r w:rsidRPr="000076C5">
        <w:t xml:space="preserve"> </w:t>
      </w:r>
      <w:proofErr w:type="spellStart"/>
      <w:r w:rsidRPr="000076C5">
        <w:t>самоврядування</w:t>
      </w:r>
      <w:proofErr w:type="spellEnd"/>
      <w:r w:rsidRPr="000076C5">
        <w:t>.</w:t>
      </w:r>
    </w:p>
    <w:p w:rsidR="000076C5" w:rsidRPr="000076C5" w:rsidRDefault="000076C5" w:rsidP="000076C5">
      <w:pPr>
        <w:ind w:firstLine="705"/>
        <w:jc w:val="both"/>
        <w:rPr>
          <w:i/>
        </w:rPr>
      </w:pPr>
      <w:r w:rsidRPr="000076C5">
        <w:rPr>
          <w:i/>
        </w:rPr>
        <w:t xml:space="preserve">3.Альтернативні </w:t>
      </w:r>
      <w:proofErr w:type="spellStart"/>
      <w:r w:rsidRPr="000076C5">
        <w:rPr>
          <w:i/>
        </w:rPr>
        <w:t>способи</w:t>
      </w:r>
      <w:proofErr w:type="spellEnd"/>
      <w:r w:rsidRPr="000076C5">
        <w:rPr>
          <w:i/>
        </w:rPr>
        <w:t xml:space="preserve"> </w:t>
      </w:r>
      <w:proofErr w:type="spellStart"/>
      <w:r w:rsidRPr="000076C5">
        <w:rPr>
          <w:i/>
        </w:rPr>
        <w:t>досягнення</w:t>
      </w:r>
      <w:proofErr w:type="spellEnd"/>
      <w:r w:rsidRPr="000076C5">
        <w:rPr>
          <w:i/>
        </w:rPr>
        <w:t xml:space="preserve"> </w:t>
      </w:r>
      <w:proofErr w:type="spellStart"/>
      <w:r w:rsidRPr="000076C5">
        <w:rPr>
          <w:i/>
        </w:rPr>
        <w:t>цілі</w:t>
      </w:r>
      <w:proofErr w:type="spellEnd"/>
    </w:p>
    <w:p w:rsidR="000076C5" w:rsidRDefault="000076C5" w:rsidP="000076C5">
      <w:pPr>
        <w:ind w:firstLine="705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5"/>
        <w:gridCol w:w="3455"/>
        <w:gridCol w:w="3491"/>
      </w:tblGrid>
      <w:tr w:rsidR="000076C5" w:rsidTr="000076C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Можливі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способи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досягнення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цілей</w:t>
            </w:r>
            <w:proofErr w:type="spell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способу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Причина </w:t>
            </w:r>
            <w:proofErr w:type="spellStart"/>
            <w:r>
              <w:rPr>
                <w:sz w:val="26"/>
                <w:szCs w:val="26"/>
              </w:rPr>
              <w:t>відмови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альтернативних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способів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аргументи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переваги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обраного</w:t>
            </w:r>
            <w:proofErr w:type="spellEnd"/>
            <w:r>
              <w:rPr>
                <w:sz w:val="26"/>
                <w:szCs w:val="26"/>
              </w:rPr>
              <w:t xml:space="preserve"> способу</w:t>
            </w:r>
          </w:p>
        </w:tc>
      </w:tr>
      <w:tr w:rsidR="000076C5" w:rsidTr="000076C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Узгодження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чинними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регулюваннями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EB22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Спосіб оцінюється як такий, що не в повній мірі забезпечує вимоги Ц</w:t>
            </w:r>
            <w:r w:rsidR="00EB22C0">
              <w:rPr>
                <w:sz w:val="26"/>
                <w:szCs w:val="26"/>
                <w:lang w:val="uk-UA"/>
              </w:rPr>
              <w:t xml:space="preserve">ивільного кодексу </w:t>
            </w:r>
            <w:r>
              <w:rPr>
                <w:sz w:val="26"/>
                <w:szCs w:val="26"/>
                <w:lang w:val="uk-UA"/>
              </w:rPr>
              <w:t xml:space="preserve"> України.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EB22C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Відсутність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чинної</w:t>
            </w:r>
            <w:proofErr w:type="spellEnd"/>
            <w:r>
              <w:rPr>
                <w:sz w:val="26"/>
                <w:szCs w:val="26"/>
              </w:rPr>
              <w:t xml:space="preserve"> нормативно –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бази</w:t>
            </w:r>
            <w:proofErr w:type="spellEnd"/>
            <w:r>
              <w:rPr>
                <w:sz w:val="26"/>
                <w:szCs w:val="26"/>
              </w:rPr>
              <w:t xml:space="preserve"> центрального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івня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076C5" w:rsidTr="000076C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EB22C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Інший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запропонованого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розподіл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функцій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організації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діяльності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ради, </w:t>
            </w:r>
            <w:proofErr w:type="spellStart"/>
            <w:r>
              <w:rPr>
                <w:sz w:val="26"/>
                <w:szCs w:val="26"/>
              </w:rPr>
              <w:t>її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посадових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осіб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Pr="00706F81" w:rsidRDefault="000076C5" w:rsidP="00EB22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Будь - який інший розподіл функцій з організації  діяльності міської ради, її виконавчих органів та посадових осіб вимагатиме більших затрат на додаткову фахову підготовку спеціалістів</w:t>
            </w:r>
            <w:r w:rsidR="00706F8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706F8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Значні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затрати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забезпечення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регулювання</w:t>
            </w:r>
            <w:proofErr w:type="spellEnd"/>
          </w:p>
        </w:tc>
      </w:tr>
      <w:tr w:rsidR="000076C5" w:rsidRPr="007B22CD" w:rsidTr="000076C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Обраний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спосіб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C5" w:rsidRDefault="00706F81" w:rsidP="00706F8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Побудований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відповідно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вимог</w:t>
            </w:r>
            <w:proofErr w:type="spellEnd"/>
            <w:r w:rsidR="000076C5">
              <w:rPr>
                <w:sz w:val="26"/>
                <w:szCs w:val="26"/>
              </w:rPr>
              <w:t xml:space="preserve"> </w:t>
            </w:r>
            <w:proofErr w:type="spellStart"/>
            <w:r w:rsidR="000076C5">
              <w:rPr>
                <w:sz w:val="26"/>
                <w:szCs w:val="26"/>
              </w:rPr>
              <w:t>регулювання</w:t>
            </w:r>
            <w:proofErr w:type="spellEnd"/>
            <w:r w:rsidR="000076C5">
              <w:rPr>
                <w:sz w:val="26"/>
                <w:szCs w:val="26"/>
              </w:rPr>
              <w:t xml:space="preserve"> центрального </w:t>
            </w:r>
            <w:proofErr w:type="spellStart"/>
            <w:proofErr w:type="gramStart"/>
            <w:r w:rsidR="000076C5">
              <w:rPr>
                <w:sz w:val="26"/>
                <w:szCs w:val="26"/>
              </w:rPr>
              <w:t>р</w:t>
            </w:r>
            <w:proofErr w:type="gramEnd"/>
            <w:r w:rsidR="000076C5">
              <w:rPr>
                <w:sz w:val="26"/>
                <w:szCs w:val="26"/>
              </w:rPr>
              <w:t>івня</w:t>
            </w:r>
            <w:proofErr w:type="spellEnd"/>
            <w:r w:rsidR="000076C5">
              <w:rPr>
                <w:sz w:val="26"/>
                <w:szCs w:val="26"/>
              </w:rPr>
              <w:t>.</w:t>
            </w:r>
          </w:p>
          <w:p w:rsidR="000076C5" w:rsidRDefault="000076C5" w:rsidP="00706F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Забезпечує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досягнення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цілей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державного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регулювання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076C5" w:rsidRDefault="000076C5" w:rsidP="0070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Відповідає</w:t>
            </w:r>
            <w:proofErr w:type="spellEnd"/>
            <w:r>
              <w:rPr>
                <w:sz w:val="26"/>
                <w:szCs w:val="26"/>
              </w:rPr>
              <w:t xml:space="preserve"> потребам</w:t>
            </w:r>
            <w:r w:rsidR="00706F81">
              <w:rPr>
                <w:sz w:val="26"/>
                <w:szCs w:val="26"/>
                <w:lang w:val="uk-UA"/>
              </w:rPr>
              <w:t xml:space="preserve"> у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вирішенні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076C5" w:rsidRDefault="000076C5" w:rsidP="0070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Забезпечує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встановлення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принципів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демократії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місцевому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івні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076C5" w:rsidRDefault="000076C5">
            <w:pPr>
              <w:ind w:firstLine="709"/>
              <w:rPr>
                <w:sz w:val="26"/>
                <w:szCs w:val="26"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706F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Забезпечує принципи державної регуляторної політики, адекватні станові підприємницького середовища та сучасні вимоги ефективного державного управління.</w:t>
            </w:r>
          </w:p>
        </w:tc>
      </w:tr>
    </w:tbl>
    <w:p w:rsidR="000076C5" w:rsidRDefault="000076C5" w:rsidP="000076C5">
      <w:pPr>
        <w:ind w:firstLine="705"/>
        <w:jc w:val="both"/>
        <w:rPr>
          <w:i/>
          <w:sz w:val="26"/>
          <w:szCs w:val="26"/>
          <w:lang w:val="uk-UA"/>
        </w:rPr>
      </w:pPr>
    </w:p>
    <w:p w:rsidR="000076C5" w:rsidRDefault="000076C5" w:rsidP="000076C5">
      <w:pPr>
        <w:ind w:left="70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4.Опис </w:t>
      </w:r>
      <w:proofErr w:type="spellStart"/>
      <w:r>
        <w:rPr>
          <w:i/>
          <w:sz w:val="26"/>
          <w:szCs w:val="26"/>
        </w:rPr>
        <w:t>механізму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і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заході</w:t>
      </w:r>
      <w:proofErr w:type="gramStart"/>
      <w:r>
        <w:rPr>
          <w:i/>
          <w:sz w:val="26"/>
          <w:szCs w:val="26"/>
        </w:rPr>
        <w:t>в</w:t>
      </w:r>
      <w:proofErr w:type="spellEnd"/>
      <w:proofErr w:type="gram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які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забезпечать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розв’язання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визначених</w:t>
      </w:r>
      <w:proofErr w:type="spellEnd"/>
      <w:r>
        <w:rPr>
          <w:i/>
          <w:sz w:val="26"/>
          <w:szCs w:val="26"/>
        </w:rPr>
        <w:t xml:space="preserve"> проблем шляхом </w:t>
      </w:r>
      <w:proofErr w:type="spellStart"/>
      <w:r>
        <w:rPr>
          <w:i/>
          <w:sz w:val="26"/>
          <w:szCs w:val="26"/>
        </w:rPr>
        <w:t>прийняття</w:t>
      </w:r>
      <w:proofErr w:type="spellEnd"/>
      <w:r>
        <w:rPr>
          <w:i/>
          <w:sz w:val="26"/>
          <w:szCs w:val="26"/>
        </w:rPr>
        <w:t xml:space="preserve"> регуляторного акта.</w:t>
      </w:r>
    </w:p>
    <w:p w:rsidR="000076C5" w:rsidRDefault="000076C5" w:rsidP="000076C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Принципи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способи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досягнення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цілей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регулювання</w:t>
      </w:r>
      <w:proofErr w:type="spellEnd"/>
      <w:r>
        <w:rPr>
          <w:sz w:val="26"/>
          <w:szCs w:val="26"/>
        </w:rPr>
        <w:t>:</w:t>
      </w:r>
    </w:p>
    <w:p w:rsidR="000076C5" w:rsidRDefault="000076C5" w:rsidP="000076C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регулювання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побудовано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вимог</w:t>
      </w:r>
      <w:proofErr w:type="spellEnd"/>
      <w:r>
        <w:rPr>
          <w:sz w:val="26"/>
          <w:szCs w:val="26"/>
        </w:rPr>
        <w:t xml:space="preserve"> Ц</w:t>
      </w:r>
      <w:proofErr w:type="spellStart"/>
      <w:r w:rsidR="00C33CEB">
        <w:rPr>
          <w:sz w:val="26"/>
          <w:szCs w:val="26"/>
          <w:lang w:val="uk-UA"/>
        </w:rPr>
        <w:t>ивільного</w:t>
      </w:r>
      <w:proofErr w:type="spellEnd"/>
      <w:r w:rsidR="00C33CEB">
        <w:rPr>
          <w:sz w:val="26"/>
          <w:szCs w:val="26"/>
          <w:lang w:val="uk-UA"/>
        </w:rPr>
        <w:t xml:space="preserve"> кодексу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>;</w:t>
      </w:r>
    </w:p>
    <w:p w:rsidR="000076C5" w:rsidRDefault="000076C5" w:rsidP="000076C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ісля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отримання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доручення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складається</w:t>
      </w:r>
      <w:proofErr w:type="spellEnd"/>
      <w:r>
        <w:rPr>
          <w:sz w:val="26"/>
          <w:szCs w:val="26"/>
        </w:rPr>
        <w:t xml:space="preserve"> акт </w:t>
      </w:r>
      <w:proofErr w:type="spellStart"/>
      <w:r>
        <w:rPr>
          <w:sz w:val="26"/>
          <w:szCs w:val="26"/>
        </w:rPr>
        <w:t>опису</w:t>
      </w:r>
      <w:proofErr w:type="spellEnd"/>
      <w:r>
        <w:rPr>
          <w:sz w:val="26"/>
          <w:szCs w:val="26"/>
        </w:rPr>
        <w:t xml:space="preserve"> майна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фото </w:t>
      </w:r>
      <w:proofErr w:type="spellStart"/>
      <w:r>
        <w:rPr>
          <w:sz w:val="26"/>
          <w:szCs w:val="26"/>
        </w:rPr>
        <w:t>фіксацією</w:t>
      </w:r>
      <w:proofErr w:type="spellEnd"/>
      <w:r>
        <w:rPr>
          <w:sz w:val="26"/>
          <w:szCs w:val="26"/>
        </w:rPr>
        <w:t xml:space="preserve">, у </w:t>
      </w:r>
      <w:proofErr w:type="spellStart"/>
      <w:r>
        <w:rPr>
          <w:sz w:val="26"/>
          <w:szCs w:val="26"/>
        </w:rPr>
        <w:t>місячний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термін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довідка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наявність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реєстрації</w:t>
      </w:r>
      <w:proofErr w:type="spellEnd"/>
      <w:r>
        <w:rPr>
          <w:sz w:val="26"/>
          <w:szCs w:val="26"/>
        </w:rPr>
        <w:t xml:space="preserve"> права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знаходження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безхазяйного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нерухомого</w:t>
      </w:r>
      <w:proofErr w:type="spellEnd"/>
      <w:r>
        <w:rPr>
          <w:sz w:val="26"/>
          <w:szCs w:val="26"/>
        </w:rPr>
        <w:t xml:space="preserve"> майна</w:t>
      </w:r>
      <w:r w:rsidR="00C33CEB">
        <w:rPr>
          <w:sz w:val="26"/>
          <w:szCs w:val="26"/>
          <w:lang w:val="uk-UA"/>
        </w:rPr>
        <w:t xml:space="preserve">, </w:t>
      </w:r>
      <w:proofErr w:type="spellStart"/>
      <w:r w:rsidR="00C33CEB">
        <w:rPr>
          <w:sz w:val="26"/>
          <w:szCs w:val="26"/>
          <w:lang w:val="uk-UA"/>
        </w:rPr>
        <w:t>відумерлої</w:t>
      </w:r>
      <w:proofErr w:type="spellEnd"/>
      <w:r w:rsidR="00C33CEB">
        <w:rPr>
          <w:sz w:val="26"/>
          <w:szCs w:val="26"/>
          <w:lang w:val="uk-UA"/>
        </w:rPr>
        <w:t xml:space="preserve"> спадщини чи знищеного майна</w:t>
      </w:r>
      <w:r>
        <w:rPr>
          <w:sz w:val="26"/>
          <w:szCs w:val="26"/>
        </w:rPr>
        <w:t xml:space="preserve">; </w:t>
      </w:r>
    </w:p>
    <w:p w:rsidR="000076C5" w:rsidRDefault="000076C5" w:rsidP="000076C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готується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висновок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можливість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взяття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безхазяйного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нерухомого</w:t>
      </w:r>
      <w:proofErr w:type="spellEnd"/>
      <w:r>
        <w:rPr>
          <w:sz w:val="26"/>
          <w:szCs w:val="26"/>
        </w:rPr>
        <w:t xml:space="preserve"> майна;</w:t>
      </w:r>
    </w:p>
    <w:p w:rsidR="000076C5" w:rsidRDefault="000076C5" w:rsidP="000076C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3CEB">
        <w:rPr>
          <w:sz w:val="26"/>
          <w:szCs w:val="26"/>
          <w:lang w:val="uk-UA"/>
        </w:rPr>
        <w:tab/>
      </w: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місячний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термін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приймається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безхазяйне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розміщується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оголошення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взяття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облік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друкованих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засобах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масової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інформації</w:t>
      </w:r>
      <w:proofErr w:type="spellEnd"/>
      <w:r>
        <w:rPr>
          <w:sz w:val="26"/>
          <w:szCs w:val="26"/>
        </w:rPr>
        <w:t>;</w:t>
      </w:r>
    </w:p>
    <w:p w:rsidR="000076C5" w:rsidRDefault="000076C5" w:rsidP="000076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ідготовлення</w:t>
      </w:r>
      <w:proofErr w:type="spellEnd"/>
      <w:r>
        <w:rPr>
          <w:sz w:val="26"/>
          <w:szCs w:val="26"/>
        </w:rPr>
        <w:t xml:space="preserve"> заяви до суду про передачу </w:t>
      </w:r>
      <w:proofErr w:type="spellStart"/>
      <w:r>
        <w:rPr>
          <w:sz w:val="26"/>
          <w:szCs w:val="26"/>
        </w:rPr>
        <w:t>зазначеного</w:t>
      </w:r>
      <w:proofErr w:type="spellEnd"/>
      <w:r>
        <w:rPr>
          <w:sz w:val="26"/>
          <w:szCs w:val="26"/>
        </w:rPr>
        <w:t xml:space="preserve"> майна у </w:t>
      </w:r>
      <w:proofErr w:type="spellStart"/>
      <w:r>
        <w:rPr>
          <w:sz w:val="26"/>
          <w:szCs w:val="26"/>
        </w:rPr>
        <w:t>комунальну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міста</w:t>
      </w:r>
      <w:proofErr w:type="spellEnd"/>
      <w:r>
        <w:rPr>
          <w:sz w:val="26"/>
          <w:szCs w:val="26"/>
        </w:rPr>
        <w:t xml:space="preserve"> Синельникове;</w:t>
      </w:r>
    </w:p>
    <w:p w:rsidR="000076C5" w:rsidRDefault="000076C5" w:rsidP="000076C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ідставі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суду </w:t>
      </w:r>
      <w:proofErr w:type="spellStart"/>
      <w:r>
        <w:rPr>
          <w:sz w:val="26"/>
          <w:szCs w:val="26"/>
        </w:rPr>
        <w:t>майно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передається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комунальну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власність</w:t>
      </w:r>
      <w:proofErr w:type="spellEnd"/>
      <w:r>
        <w:rPr>
          <w:sz w:val="26"/>
          <w:szCs w:val="26"/>
        </w:rPr>
        <w:t>;</w:t>
      </w:r>
    </w:p>
    <w:p w:rsidR="000076C5" w:rsidRDefault="000076C5" w:rsidP="00F403D5">
      <w:pPr>
        <w:ind w:left="178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Розробка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вищезазначеного</w:t>
      </w:r>
      <w:proofErr w:type="spellEnd"/>
      <w:r>
        <w:rPr>
          <w:sz w:val="26"/>
          <w:szCs w:val="26"/>
        </w:rPr>
        <w:t xml:space="preserve"> проекту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здійснювалась</w:t>
      </w:r>
      <w:proofErr w:type="spellEnd"/>
      <w:r>
        <w:rPr>
          <w:sz w:val="26"/>
          <w:szCs w:val="26"/>
        </w:rPr>
        <w:t xml:space="preserve"> за принципами: </w:t>
      </w:r>
    </w:p>
    <w:p w:rsidR="000076C5" w:rsidRDefault="000076C5" w:rsidP="000076C5">
      <w:pPr>
        <w:numPr>
          <w:ilvl w:val="2"/>
          <w:numId w:val="2"/>
        </w:num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доц</w:t>
      </w:r>
      <w:proofErr w:type="gramEnd"/>
      <w:r>
        <w:rPr>
          <w:sz w:val="26"/>
          <w:szCs w:val="26"/>
        </w:rPr>
        <w:t>ільністості</w:t>
      </w:r>
      <w:proofErr w:type="spellEnd"/>
      <w:r>
        <w:rPr>
          <w:sz w:val="26"/>
          <w:szCs w:val="26"/>
        </w:rPr>
        <w:t>,</w:t>
      </w:r>
    </w:p>
    <w:p w:rsidR="000076C5" w:rsidRDefault="000076C5" w:rsidP="000076C5">
      <w:pPr>
        <w:numPr>
          <w:ilvl w:val="2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адекватності</w:t>
      </w:r>
      <w:proofErr w:type="spellEnd"/>
      <w:r>
        <w:rPr>
          <w:sz w:val="26"/>
          <w:szCs w:val="26"/>
        </w:rPr>
        <w:t>,</w:t>
      </w:r>
    </w:p>
    <w:p w:rsidR="000076C5" w:rsidRDefault="000076C5" w:rsidP="000076C5">
      <w:pPr>
        <w:numPr>
          <w:ilvl w:val="2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прозорості</w:t>
      </w:r>
      <w:proofErr w:type="spellEnd"/>
      <w:r>
        <w:rPr>
          <w:sz w:val="26"/>
          <w:szCs w:val="26"/>
        </w:rPr>
        <w:t>,</w:t>
      </w:r>
    </w:p>
    <w:p w:rsidR="000076C5" w:rsidRDefault="000076C5" w:rsidP="000076C5">
      <w:pPr>
        <w:numPr>
          <w:ilvl w:val="2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ефективності</w:t>
      </w:r>
      <w:proofErr w:type="spellEnd"/>
      <w:r>
        <w:rPr>
          <w:sz w:val="26"/>
          <w:szCs w:val="26"/>
        </w:rPr>
        <w:t>,</w:t>
      </w:r>
    </w:p>
    <w:p w:rsidR="000076C5" w:rsidRDefault="000076C5" w:rsidP="000076C5">
      <w:pPr>
        <w:numPr>
          <w:ilvl w:val="2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передбачуваності</w:t>
      </w:r>
      <w:proofErr w:type="spellEnd"/>
      <w:r>
        <w:rPr>
          <w:sz w:val="26"/>
          <w:szCs w:val="26"/>
        </w:rPr>
        <w:t>,</w:t>
      </w:r>
    </w:p>
    <w:p w:rsidR="000076C5" w:rsidRDefault="000076C5" w:rsidP="000076C5">
      <w:pPr>
        <w:numPr>
          <w:ilvl w:val="2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збалансованості</w:t>
      </w:r>
      <w:proofErr w:type="spellEnd"/>
      <w:r>
        <w:rPr>
          <w:sz w:val="26"/>
          <w:szCs w:val="26"/>
        </w:rPr>
        <w:t>.</w:t>
      </w:r>
    </w:p>
    <w:p w:rsidR="000076C5" w:rsidRDefault="000076C5" w:rsidP="000076C5">
      <w:pPr>
        <w:ind w:left="3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proofErr w:type="spellStart"/>
      <w:r>
        <w:rPr>
          <w:i/>
          <w:sz w:val="26"/>
          <w:szCs w:val="26"/>
        </w:rPr>
        <w:t>Обгрунтування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можливості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досягнення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визначених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цілей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у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раз</w:t>
      </w:r>
      <w:proofErr w:type="gramEnd"/>
      <w:r>
        <w:rPr>
          <w:i/>
          <w:sz w:val="26"/>
          <w:szCs w:val="26"/>
        </w:rPr>
        <w:t>і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прийняття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запропонованого</w:t>
      </w:r>
      <w:proofErr w:type="spellEnd"/>
      <w:r>
        <w:rPr>
          <w:i/>
          <w:sz w:val="26"/>
          <w:szCs w:val="26"/>
        </w:rPr>
        <w:t xml:space="preserve"> регуляторного акта.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Прийняття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зазначеного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регуляторного</w:t>
      </w:r>
      <w:proofErr w:type="gramEnd"/>
      <w:r>
        <w:rPr>
          <w:sz w:val="26"/>
          <w:szCs w:val="26"/>
        </w:rPr>
        <w:t xml:space="preserve"> акту </w:t>
      </w:r>
      <w:proofErr w:type="spellStart"/>
      <w:r>
        <w:rPr>
          <w:sz w:val="26"/>
          <w:szCs w:val="26"/>
        </w:rPr>
        <w:t>повністю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забезпечує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досягнення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цілей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пунктом 2 </w:t>
      </w:r>
      <w:proofErr w:type="spellStart"/>
      <w:r>
        <w:rPr>
          <w:sz w:val="26"/>
          <w:szCs w:val="26"/>
        </w:rPr>
        <w:t>цього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Аналізу</w:t>
      </w:r>
      <w:proofErr w:type="spellEnd"/>
      <w:r>
        <w:rPr>
          <w:sz w:val="26"/>
          <w:szCs w:val="26"/>
        </w:rPr>
        <w:t>.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Впровадження</w:t>
      </w:r>
      <w:proofErr w:type="spellEnd"/>
      <w:r>
        <w:rPr>
          <w:sz w:val="26"/>
          <w:szCs w:val="26"/>
        </w:rPr>
        <w:t xml:space="preserve"> акта </w:t>
      </w:r>
      <w:proofErr w:type="spellStart"/>
      <w:r>
        <w:rPr>
          <w:sz w:val="26"/>
          <w:szCs w:val="26"/>
        </w:rPr>
        <w:t>передбачає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нарощення</w:t>
      </w:r>
      <w:proofErr w:type="spellEnd"/>
      <w:r>
        <w:rPr>
          <w:sz w:val="26"/>
          <w:szCs w:val="26"/>
        </w:rPr>
        <w:t xml:space="preserve"> затрат </w:t>
      </w:r>
      <w:proofErr w:type="spellStart"/>
      <w:r>
        <w:rPr>
          <w:sz w:val="26"/>
          <w:szCs w:val="26"/>
        </w:rPr>
        <w:t>адміністративних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ресурсів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саме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витрати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послуги</w:t>
      </w:r>
      <w:proofErr w:type="spellEnd"/>
      <w:r>
        <w:rPr>
          <w:sz w:val="26"/>
          <w:szCs w:val="26"/>
        </w:rPr>
        <w:t xml:space="preserve"> БТІ, </w:t>
      </w:r>
      <w:proofErr w:type="spellStart"/>
      <w:r>
        <w:rPr>
          <w:sz w:val="26"/>
          <w:szCs w:val="26"/>
        </w:rPr>
        <w:t>оголошення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взяття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засобах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масової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інформації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сплата</w:t>
      </w:r>
      <w:proofErr w:type="spellEnd"/>
      <w:r>
        <w:rPr>
          <w:sz w:val="26"/>
          <w:szCs w:val="26"/>
        </w:rPr>
        <w:t xml:space="preserve"> судового </w:t>
      </w:r>
      <w:proofErr w:type="spellStart"/>
      <w:r>
        <w:rPr>
          <w:sz w:val="26"/>
          <w:szCs w:val="26"/>
        </w:rPr>
        <w:t>збору</w:t>
      </w:r>
      <w:proofErr w:type="spellEnd"/>
      <w:r>
        <w:rPr>
          <w:sz w:val="26"/>
          <w:szCs w:val="26"/>
        </w:rPr>
        <w:t xml:space="preserve"> за подачу заяви до суду та </w:t>
      </w:r>
      <w:proofErr w:type="spellStart"/>
      <w:r>
        <w:rPr>
          <w:sz w:val="26"/>
          <w:szCs w:val="26"/>
        </w:rPr>
        <w:t>ін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Ресурсні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можливості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впровадження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вимог</w:t>
      </w:r>
      <w:proofErr w:type="spellEnd"/>
      <w:r>
        <w:rPr>
          <w:sz w:val="26"/>
          <w:szCs w:val="26"/>
        </w:rPr>
        <w:t xml:space="preserve"> акта </w:t>
      </w:r>
      <w:proofErr w:type="spellStart"/>
      <w:r>
        <w:rPr>
          <w:sz w:val="26"/>
          <w:szCs w:val="26"/>
        </w:rPr>
        <w:t>визначатимуться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бюджетними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можливостями</w:t>
      </w:r>
      <w:proofErr w:type="spellEnd"/>
      <w:r>
        <w:rPr>
          <w:sz w:val="26"/>
          <w:szCs w:val="26"/>
        </w:rPr>
        <w:t xml:space="preserve">. 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Можлива</w:t>
      </w:r>
      <w:proofErr w:type="spellEnd"/>
      <w:r>
        <w:rPr>
          <w:sz w:val="26"/>
          <w:szCs w:val="26"/>
        </w:rPr>
        <w:t xml:space="preserve"> шкода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очікуваних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наслідків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дії</w:t>
      </w:r>
      <w:proofErr w:type="spellEnd"/>
      <w:r>
        <w:rPr>
          <w:sz w:val="26"/>
          <w:szCs w:val="26"/>
        </w:rPr>
        <w:t xml:space="preserve"> акта не </w:t>
      </w:r>
      <w:proofErr w:type="spellStart"/>
      <w:r>
        <w:rPr>
          <w:sz w:val="26"/>
          <w:szCs w:val="26"/>
        </w:rPr>
        <w:t>прогнозується</w:t>
      </w:r>
      <w:proofErr w:type="spellEnd"/>
      <w:r>
        <w:rPr>
          <w:sz w:val="26"/>
          <w:szCs w:val="26"/>
        </w:rPr>
        <w:t>.</w:t>
      </w:r>
    </w:p>
    <w:p w:rsidR="000076C5" w:rsidRDefault="000076C5" w:rsidP="000076C5">
      <w:pPr>
        <w:ind w:left="3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proofErr w:type="spellStart"/>
      <w:r>
        <w:rPr>
          <w:i/>
          <w:sz w:val="26"/>
          <w:szCs w:val="26"/>
        </w:rPr>
        <w:t>Очікуванні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результати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дії</w:t>
      </w:r>
      <w:proofErr w:type="spellEnd"/>
      <w:r>
        <w:rPr>
          <w:i/>
          <w:sz w:val="26"/>
          <w:szCs w:val="26"/>
        </w:rPr>
        <w:t xml:space="preserve"> акта 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процесі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практичної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зазначеного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забезпечується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наступне</w:t>
      </w:r>
      <w:proofErr w:type="spellEnd"/>
      <w:r>
        <w:rPr>
          <w:sz w:val="26"/>
          <w:szCs w:val="26"/>
        </w:rPr>
        <w:t xml:space="preserve">: </w:t>
      </w:r>
    </w:p>
    <w:p w:rsidR="000076C5" w:rsidRDefault="000076C5" w:rsidP="000076C5">
      <w:pPr>
        <w:ind w:left="30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ab/>
      </w:r>
      <w:proofErr w:type="spellStart"/>
      <w:r>
        <w:rPr>
          <w:i/>
          <w:sz w:val="26"/>
          <w:szCs w:val="26"/>
        </w:rPr>
        <w:t>Таблиця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вигод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і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витрат</w:t>
      </w:r>
      <w:proofErr w:type="spellEnd"/>
    </w:p>
    <w:p w:rsidR="000076C5" w:rsidRDefault="000076C5" w:rsidP="000076C5">
      <w:pPr>
        <w:ind w:left="300"/>
        <w:jc w:val="center"/>
        <w:rPr>
          <w:i/>
          <w:sz w:val="26"/>
          <w:szCs w:val="26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0"/>
        <w:gridCol w:w="3542"/>
        <w:gridCol w:w="3258"/>
      </w:tblGrid>
      <w:tr w:rsidR="000076C5" w:rsidTr="000076C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</w:rPr>
              <w:t xml:space="preserve">Сфера </w:t>
            </w:r>
            <w:proofErr w:type="spellStart"/>
            <w:r>
              <w:rPr>
                <w:i/>
                <w:sz w:val="26"/>
                <w:szCs w:val="26"/>
              </w:rPr>
              <w:t>впливу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jc w:val="center"/>
              <w:rPr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sz w:val="26"/>
                <w:szCs w:val="26"/>
              </w:rPr>
              <w:t>Вигоди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jc w:val="center"/>
              <w:rPr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sz w:val="26"/>
                <w:szCs w:val="26"/>
              </w:rPr>
              <w:t>Витрати</w:t>
            </w:r>
            <w:proofErr w:type="spellEnd"/>
          </w:p>
        </w:tc>
      </w:tr>
      <w:tr w:rsidR="000076C5" w:rsidTr="000076C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Синельниківськ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рада,її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органи</w:t>
            </w:r>
            <w:proofErr w:type="spellEnd"/>
            <w:r>
              <w:rPr>
                <w:sz w:val="26"/>
                <w:szCs w:val="26"/>
              </w:rPr>
              <w:t xml:space="preserve"> та КП «</w:t>
            </w:r>
            <w:proofErr w:type="spellStart"/>
            <w:r>
              <w:rPr>
                <w:sz w:val="26"/>
                <w:szCs w:val="26"/>
              </w:rPr>
              <w:t>Синельниківське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міжрайонне</w:t>
            </w:r>
            <w:proofErr w:type="spellEnd"/>
            <w:r>
              <w:rPr>
                <w:sz w:val="26"/>
                <w:szCs w:val="26"/>
              </w:rPr>
              <w:t xml:space="preserve"> бюро </w:t>
            </w:r>
            <w:proofErr w:type="spellStart"/>
            <w:r>
              <w:rPr>
                <w:sz w:val="26"/>
                <w:szCs w:val="26"/>
              </w:rPr>
              <w:t>технічної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інвентаризації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787BD9">
            <w:pPr>
              <w:numPr>
                <w:ilvl w:val="0"/>
                <w:numId w:val="3"/>
              </w:numPr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Зростання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івня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довіри</w:t>
            </w:r>
            <w:proofErr w:type="spellEnd"/>
            <w:r>
              <w:rPr>
                <w:sz w:val="26"/>
                <w:szCs w:val="26"/>
              </w:rPr>
              <w:t xml:space="preserve"> як у </w:t>
            </w:r>
            <w:proofErr w:type="spellStart"/>
            <w:r>
              <w:rPr>
                <w:sz w:val="26"/>
                <w:szCs w:val="26"/>
              </w:rPr>
              <w:t>підприємницькому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середовищі</w:t>
            </w:r>
            <w:proofErr w:type="spellEnd"/>
            <w:r>
              <w:rPr>
                <w:sz w:val="26"/>
                <w:szCs w:val="26"/>
              </w:rPr>
              <w:t xml:space="preserve"> так </w:t>
            </w:r>
            <w:proofErr w:type="spellStart"/>
            <w:r>
              <w:rPr>
                <w:sz w:val="26"/>
                <w:szCs w:val="26"/>
              </w:rPr>
              <w:t>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громадян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076C5" w:rsidRDefault="000076C5" w:rsidP="00787BD9">
            <w:pPr>
              <w:numPr>
                <w:ilvl w:val="0"/>
                <w:numId w:val="3"/>
              </w:numPr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Збільшення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надходжень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іського</w:t>
            </w:r>
            <w:proofErr w:type="spellEnd"/>
            <w:r>
              <w:rPr>
                <w:sz w:val="26"/>
                <w:szCs w:val="26"/>
              </w:rPr>
              <w:t xml:space="preserve"> бюджету.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787BD9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Збільшення аналітичної роботи</w:t>
            </w:r>
            <w:r w:rsidR="001C559C">
              <w:rPr>
                <w:sz w:val="26"/>
                <w:szCs w:val="26"/>
                <w:lang w:val="uk-UA"/>
              </w:rPr>
              <w:t xml:space="preserve">   (</w:t>
            </w:r>
            <w:r>
              <w:rPr>
                <w:sz w:val="26"/>
                <w:szCs w:val="26"/>
                <w:lang w:val="uk-UA"/>
              </w:rPr>
              <w:t>функціональних обов’язків) , виконавчих органів, посадових осіб.</w:t>
            </w:r>
          </w:p>
          <w:p w:rsidR="000076C5" w:rsidRDefault="000076C5" w:rsidP="00787BD9">
            <w:pPr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Додаткове навантаження на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/>
              </w:rPr>
              <w:t>Синельниківське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міжрайонне бюро технічної інвентаризації», відділ комунальної власності та земельних відносин управління ЖКГ та КВ міської ради, юридичний відділ міської ради .</w:t>
            </w:r>
          </w:p>
          <w:p w:rsidR="000076C5" w:rsidRDefault="000076C5" w:rsidP="00787B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</w:t>
            </w:r>
            <w:proofErr w:type="spellStart"/>
            <w:r>
              <w:rPr>
                <w:sz w:val="26"/>
                <w:szCs w:val="26"/>
              </w:rPr>
              <w:t>послуг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залучених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проведення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оцінки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безхазяйного</w:t>
            </w:r>
            <w:proofErr w:type="spellEnd"/>
            <w:r>
              <w:rPr>
                <w:sz w:val="26"/>
                <w:szCs w:val="26"/>
              </w:rPr>
              <w:t xml:space="preserve"> майна.</w:t>
            </w:r>
          </w:p>
          <w:p w:rsidR="000076C5" w:rsidRDefault="000076C5" w:rsidP="00787B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Додаткові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витрати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сплату</w:t>
            </w:r>
            <w:proofErr w:type="spellEnd"/>
            <w:r>
              <w:rPr>
                <w:sz w:val="26"/>
                <w:szCs w:val="26"/>
              </w:rPr>
              <w:t xml:space="preserve"> судового </w:t>
            </w:r>
          </w:p>
          <w:p w:rsidR="000076C5" w:rsidRDefault="000076C5">
            <w:pPr>
              <w:ind w:left="720" w:firstLine="70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збору</w:t>
            </w:r>
            <w:proofErr w:type="spellEnd"/>
            <w:r>
              <w:rPr>
                <w:sz w:val="26"/>
                <w:szCs w:val="26"/>
              </w:rPr>
              <w:t xml:space="preserve"> за подачу заяви до суду, </w:t>
            </w:r>
            <w:proofErr w:type="spellStart"/>
            <w:r>
              <w:rPr>
                <w:sz w:val="26"/>
                <w:szCs w:val="26"/>
              </w:rPr>
              <w:t>послуг</w:t>
            </w:r>
            <w:proofErr w:type="spellEnd"/>
            <w:r>
              <w:rPr>
                <w:sz w:val="26"/>
                <w:szCs w:val="26"/>
              </w:rPr>
              <w:t xml:space="preserve"> БТІ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0076C5" w:rsidTr="000076C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firstLine="70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Суб’єкти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господарювання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ї</w:t>
            </w:r>
            <w:proofErr w:type="gramStart"/>
            <w:r>
              <w:rPr>
                <w:sz w:val="26"/>
                <w:szCs w:val="26"/>
              </w:rPr>
              <w:t>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об’єднання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787BD9">
            <w:pPr>
              <w:numPr>
                <w:ilvl w:val="0"/>
                <w:numId w:val="5"/>
              </w:num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Створення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сприятливих</w:t>
            </w:r>
            <w:proofErr w:type="spellEnd"/>
            <w:r>
              <w:rPr>
                <w:sz w:val="26"/>
                <w:szCs w:val="26"/>
              </w:rPr>
              <w:t xml:space="preserve"> умов </w:t>
            </w:r>
            <w:proofErr w:type="spellStart"/>
            <w:r>
              <w:rPr>
                <w:sz w:val="26"/>
                <w:szCs w:val="26"/>
              </w:rPr>
              <w:t>ведення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бізнесу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076C5" w:rsidRDefault="000076C5" w:rsidP="00787BD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Реалізація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інтересів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ідприємництва</w:t>
            </w:r>
            <w:proofErr w:type="spellEnd"/>
            <w:r>
              <w:rPr>
                <w:sz w:val="26"/>
                <w:szCs w:val="26"/>
              </w:rPr>
              <w:t xml:space="preserve"> через </w:t>
            </w: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одержати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викупити</w:t>
            </w:r>
            <w:proofErr w:type="spellEnd"/>
            <w:r>
              <w:rPr>
                <w:sz w:val="26"/>
                <w:szCs w:val="26"/>
              </w:rPr>
              <w:t xml:space="preserve"> той </w:t>
            </w:r>
            <w:proofErr w:type="spellStart"/>
            <w:r>
              <w:rPr>
                <w:sz w:val="26"/>
                <w:szCs w:val="26"/>
              </w:rPr>
              <w:t>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інший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об’єкт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нерухомості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076C5" w:rsidRDefault="000076C5" w:rsidP="00787BD9">
            <w:pPr>
              <w:numPr>
                <w:ilvl w:val="0"/>
                <w:numId w:val="5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Стабільність</w:t>
            </w:r>
            <w:proofErr w:type="spellEnd"/>
            <w:r>
              <w:rPr>
                <w:sz w:val="26"/>
                <w:szCs w:val="26"/>
              </w:rPr>
              <w:t xml:space="preserve"> умов </w:t>
            </w:r>
            <w:proofErr w:type="spellStart"/>
            <w:r>
              <w:rPr>
                <w:sz w:val="26"/>
                <w:szCs w:val="26"/>
              </w:rPr>
              <w:t>господарювання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>
            <w:pPr>
              <w:ind w:left="720" w:firstLine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Придбання</w:t>
            </w:r>
            <w:proofErr w:type="spellEnd"/>
            <w:r>
              <w:rPr>
                <w:sz w:val="26"/>
                <w:szCs w:val="26"/>
              </w:rPr>
              <w:t xml:space="preserve"> газет в </w:t>
            </w:r>
            <w:proofErr w:type="spellStart"/>
            <w:r>
              <w:rPr>
                <w:sz w:val="26"/>
                <w:szCs w:val="26"/>
              </w:rPr>
              <w:t>яких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розміщено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оголошення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безхазяйні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об’єкти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нерухомості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076C5" w:rsidTr="000076C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1C559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Територіальна</w:t>
            </w:r>
            <w:proofErr w:type="spellEnd"/>
            <w:r>
              <w:rPr>
                <w:sz w:val="26"/>
                <w:szCs w:val="26"/>
              </w:rPr>
              <w:t xml:space="preserve"> громада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1C559C">
            <w:pPr>
              <w:ind w:left="10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Через </w:t>
            </w:r>
            <w:proofErr w:type="spellStart"/>
            <w:r>
              <w:rPr>
                <w:sz w:val="26"/>
                <w:szCs w:val="26"/>
              </w:rPr>
              <w:t>збільшення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надходжень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міського</w:t>
            </w:r>
            <w:proofErr w:type="spellEnd"/>
            <w:r>
              <w:rPr>
                <w:sz w:val="26"/>
                <w:szCs w:val="26"/>
              </w:rPr>
              <w:t xml:space="preserve"> бюджету </w:t>
            </w: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додаткових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соц</w:t>
            </w:r>
            <w:proofErr w:type="gramEnd"/>
            <w:r>
              <w:rPr>
                <w:sz w:val="26"/>
                <w:szCs w:val="26"/>
              </w:rPr>
              <w:t>іальних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суспільних</w:t>
            </w:r>
            <w:proofErr w:type="spellEnd"/>
            <w:r>
              <w:rPr>
                <w:sz w:val="26"/>
                <w:szCs w:val="26"/>
              </w:rPr>
              <w:t xml:space="preserve"> благ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C5" w:rsidRDefault="000076C5" w:rsidP="001C559C">
            <w:pPr>
              <w:ind w:left="72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Витрати</w:t>
            </w:r>
            <w:proofErr w:type="spellEnd"/>
            <w:r>
              <w:rPr>
                <w:sz w:val="26"/>
                <w:szCs w:val="26"/>
              </w:rPr>
              <w:t xml:space="preserve"> не </w:t>
            </w:r>
            <w:proofErr w:type="spellStart"/>
            <w:r>
              <w:rPr>
                <w:sz w:val="26"/>
                <w:szCs w:val="26"/>
              </w:rPr>
              <w:t>прогнозуються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0076C5" w:rsidRDefault="000076C5" w:rsidP="000076C5">
      <w:pPr>
        <w:ind w:left="300"/>
        <w:jc w:val="both"/>
        <w:rPr>
          <w:i/>
          <w:sz w:val="26"/>
          <w:szCs w:val="26"/>
          <w:lang w:val="uk-UA"/>
        </w:rPr>
      </w:pPr>
    </w:p>
    <w:p w:rsidR="000076C5" w:rsidRDefault="000076C5" w:rsidP="000076C5">
      <w:pPr>
        <w:ind w:left="3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7.Обгрунтування </w:t>
      </w:r>
      <w:proofErr w:type="spellStart"/>
      <w:r>
        <w:rPr>
          <w:i/>
          <w:sz w:val="26"/>
          <w:szCs w:val="26"/>
        </w:rPr>
        <w:t>запропонованого</w:t>
      </w:r>
      <w:proofErr w:type="spellEnd"/>
      <w:r>
        <w:rPr>
          <w:i/>
          <w:sz w:val="26"/>
          <w:szCs w:val="26"/>
        </w:rPr>
        <w:t xml:space="preserve"> строку </w:t>
      </w:r>
      <w:proofErr w:type="spellStart"/>
      <w:r>
        <w:rPr>
          <w:i/>
          <w:sz w:val="26"/>
          <w:szCs w:val="26"/>
        </w:rPr>
        <w:t>чинності</w:t>
      </w:r>
      <w:proofErr w:type="spellEnd"/>
      <w:r>
        <w:rPr>
          <w:i/>
          <w:sz w:val="26"/>
          <w:szCs w:val="26"/>
        </w:rPr>
        <w:t xml:space="preserve"> регуляторного акта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proofErr w:type="spellStart"/>
      <w:r>
        <w:rPr>
          <w:sz w:val="26"/>
          <w:szCs w:val="26"/>
        </w:rPr>
        <w:t>Термін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запропонованого</w:t>
      </w:r>
      <w:proofErr w:type="spellEnd"/>
      <w:r>
        <w:rPr>
          <w:sz w:val="26"/>
          <w:szCs w:val="26"/>
        </w:rPr>
        <w:t xml:space="preserve"> регуляторного акта не </w:t>
      </w:r>
      <w:proofErr w:type="spellStart"/>
      <w:r>
        <w:rPr>
          <w:sz w:val="26"/>
          <w:szCs w:val="26"/>
        </w:rPr>
        <w:t>обмежено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час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оскільки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прийняття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загальнообов’язковим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застосування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міста</w:t>
      </w:r>
      <w:proofErr w:type="spellEnd"/>
      <w:r>
        <w:rPr>
          <w:sz w:val="26"/>
          <w:szCs w:val="26"/>
        </w:rPr>
        <w:t xml:space="preserve"> Синельникове.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діятиме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у чинному </w:t>
      </w:r>
      <w:proofErr w:type="spellStart"/>
      <w:r>
        <w:rPr>
          <w:sz w:val="26"/>
          <w:szCs w:val="26"/>
        </w:rPr>
        <w:t>законодавстві</w:t>
      </w:r>
      <w:proofErr w:type="spellEnd"/>
      <w:r>
        <w:rPr>
          <w:sz w:val="26"/>
          <w:szCs w:val="26"/>
        </w:rPr>
        <w:t xml:space="preserve">, до </w:t>
      </w:r>
      <w:proofErr w:type="spellStart"/>
      <w:r>
        <w:rPr>
          <w:sz w:val="26"/>
          <w:szCs w:val="26"/>
        </w:rPr>
        <w:t>прийняття</w:t>
      </w:r>
      <w:proofErr w:type="spellEnd"/>
      <w:r>
        <w:rPr>
          <w:sz w:val="26"/>
          <w:szCs w:val="26"/>
        </w:rPr>
        <w:t xml:space="preserve"> нового 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дане</w:t>
      </w:r>
      <w:proofErr w:type="spellEnd"/>
      <w:r>
        <w:rPr>
          <w:sz w:val="26"/>
          <w:szCs w:val="26"/>
        </w:rPr>
        <w:t>.</w:t>
      </w:r>
    </w:p>
    <w:p w:rsidR="000076C5" w:rsidRDefault="000076C5" w:rsidP="000076C5">
      <w:pPr>
        <w:ind w:left="30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</w:rPr>
        <w:t xml:space="preserve">8. </w:t>
      </w:r>
      <w:proofErr w:type="spellStart"/>
      <w:r>
        <w:rPr>
          <w:i/>
          <w:sz w:val="26"/>
          <w:szCs w:val="26"/>
        </w:rPr>
        <w:t>Показники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результативності</w:t>
      </w:r>
      <w:proofErr w:type="spellEnd"/>
      <w:r>
        <w:rPr>
          <w:i/>
          <w:sz w:val="26"/>
          <w:szCs w:val="26"/>
        </w:rPr>
        <w:t xml:space="preserve"> регуляторного акта 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8.1 </w:t>
      </w:r>
      <w:proofErr w:type="spellStart"/>
      <w:r>
        <w:rPr>
          <w:sz w:val="26"/>
          <w:szCs w:val="26"/>
        </w:rPr>
        <w:t>Положення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розроблене</w:t>
      </w:r>
      <w:proofErr w:type="spellEnd"/>
      <w:r w:rsidR="00F403D5">
        <w:rPr>
          <w:sz w:val="26"/>
          <w:szCs w:val="26"/>
        </w:rPr>
        <w:t xml:space="preserve"> </w:t>
      </w:r>
      <w:proofErr w:type="spellStart"/>
      <w:r w:rsidR="00F403D5">
        <w:rPr>
          <w:sz w:val="26"/>
          <w:szCs w:val="26"/>
        </w:rPr>
        <w:t>відповідно</w:t>
      </w:r>
      <w:proofErr w:type="spellEnd"/>
      <w:r w:rsidR="00F403D5">
        <w:rPr>
          <w:sz w:val="26"/>
          <w:szCs w:val="26"/>
        </w:rPr>
        <w:t xml:space="preserve"> до </w:t>
      </w:r>
      <w:proofErr w:type="spellStart"/>
      <w:r w:rsidR="00F403D5">
        <w:rPr>
          <w:sz w:val="26"/>
          <w:szCs w:val="26"/>
        </w:rPr>
        <w:t>Цивільного</w:t>
      </w:r>
      <w:proofErr w:type="spellEnd"/>
      <w:r w:rsidR="00F403D5">
        <w:rPr>
          <w:sz w:val="26"/>
          <w:szCs w:val="26"/>
        </w:rPr>
        <w:t xml:space="preserve"> кодексу </w:t>
      </w:r>
      <w:proofErr w:type="spellStart"/>
      <w:r w:rsidR="00F403D5">
        <w:rPr>
          <w:sz w:val="26"/>
          <w:szCs w:val="26"/>
        </w:rPr>
        <w:t>України</w:t>
      </w:r>
      <w:proofErr w:type="spellEnd"/>
      <w:r w:rsidR="00F403D5">
        <w:rPr>
          <w:sz w:val="26"/>
          <w:szCs w:val="26"/>
          <w:lang w:val="uk-UA"/>
        </w:rPr>
        <w:t xml:space="preserve">, </w:t>
      </w:r>
      <w:r w:rsidR="00F403D5">
        <w:rPr>
          <w:sz w:val="26"/>
          <w:szCs w:val="26"/>
        </w:rPr>
        <w:t xml:space="preserve">Закону </w:t>
      </w:r>
      <w:proofErr w:type="spellStart"/>
      <w:r w:rsidR="00F403D5">
        <w:rPr>
          <w:sz w:val="26"/>
          <w:szCs w:val="26"/>
        </w:rPr>
        <w:t>України</w:t>
      </w:r>
      <w:proofErr w:type="spellEnd"/>
      <w:r w:rsidR="00F403D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місцеве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самоврядування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Україні</w:t>
      </w:r>
      <w:proofErr w:type="spellEnd"/>
      <w:r>
        <w:rPr>
          <w:sz w:val="26"/>
          <w:szCs w:val="26"/>
        </w:rPr>
        <w:t xml:space="preserve">», </w:t>
      </w:r>
      <w:r w:rsidR="00F403D5">
        <w:rPr>
          <w:sz w:val="26"/>
          <w:szCs w:val="26"/>
        </w:rPr>
        <w:t xml:space="preserve">Закону </w:t>
      </w:r>
      <w:proofErr w:type="spellStart"/>
      <w:r w:rsidR="00F403D5">
        <w:rPr>
          <w:sz w:val="26"/>
          <w:szCs w:val="26"/>
        </w:rPr>
        <w:t>України</w:t>
      </w:r>
      <w:proofErr w:type="spellEnd"/>
      <w:r w:rsidR="00F403D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державну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реєстрацію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речових</w:t>
      </w:r>
      <w:proofErr w:type="spellEnd"/>
      <w:r>
        <w:rPr>
          <w:sz w:val="26"/>
          <w:szCs w:val="26"/>
        </w:rPr>
        <w:t xml:space="preserve"> прав на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їх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обтяжень</w:t>
      </w:r>
      <w:proofErr w:type="spellEnd"/>
      <w:r>
        <w:rPr>
          <w:sz w:val="26"/>
          <w:szCs w:val="26"/>
        </w:rPr>
        <w:t xml:space="preserve">», </w:t>
      </w:r>
      <w:r w:rsidR="0026464A">
        <w:rPr>
          <w:sz w:val="26"/>
          <w:szCs w:val="26"/>
          <w:lang w:val="uk-UA"/>
        </w:rPr>
        <w:t>Постанови КМУ від 25.12.2015«Про державну реєстрацію речових прав на нерухоме майно та їх обтяжень»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взяття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збереження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використання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рухомого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нерухомого</w:t>
      </w:r>
      <w:proofErr w:type="spellEnd"/>
      <w:r>
        <w:rPr>
          <w:sz w:val="26"/>
          <w:szCs w:val="26"/>
        </w:rPr>
        <w:t xml:space="preserve"> майна, </w:t>
      </w:r>
      <w:proofErr w:type="gramStart"/>
      <w:r>
        <w:rPr>
          <w:sz w:val="26"/>
          <w:szCs w:val="26"/>
        </w:rPr>
        <w:t>яке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безхазяйним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відумерлою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спадщиною</w:t>
      </w:r>
      <w:proofErr w:type="spellEnd"/>
      <w:r>
        <w:rPr>
          <w:sz w:val="26"/>
          <w:szCs w:val="26"/>
        </w:rPr>
        <w:t>.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8.2. </w:t>
      </w:r>
      <w:proofErr w:type="spellStart"/>
      <w:r>
        <w:rPr>
          <w:sz w:val="26"/>
          <w:szCs w:val="26"/>
        </w:rPr>
        <w:t>Ефективність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способів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досягнення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цілей</w:t>
      </w:r>
      <w:proofErr w:type="spellEnd"/>
      <w:r>
        <w:rPr>
          <w:sz w:val="26"/>
          <w:szCs w:val="26"/>
        </w:rPr>
        <w:t xml:space="preserve">: </w:t>
      </w:r>
    </w:p>
    <w:p w:rsidR="000076C5" w:rsidRDefault="000076C5" w:rsidP="000076C5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Ефективність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регулювання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забезпечуватиметься</w:t>
      </w:r>
      <w:proofErr w:type="spellEnd"/>
      <w:r>
        <w:rPr>
          <w:sz w:val="26"/>
          <w:szCs w:val="26"/>
        </w:rPr>
        <w:t xml:space="preserve"> через </w:t>
      </w:r>
      <w:proofErr w:type="spellStart"/>
      <w:r>
        <w:rPr>
          <w:sz w:val="26"/>
          <w:szCs w:val="26"/>
        </w:rPr>
        <w:t>додаткові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надходження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міського</w:t>
      </w:r>
      <w:proofErr w:type="spellEnd"/>
      <w:r>
        <w:rPr>
          <w:sz w:val="26"/>
          <w:szCs w:val="26"/>
        </w:rPr>
        <w:t xml:space="preserve"> бюджету </w:t>
      </w:r>
      <w:proofErr w:type="spellStart"/>
      <w:r>
        <w:rPr>
          <w:sz w:val="26"/>
          <w:szCs w:val="26"/>
        </w:rPr>
        <w:t>внаслідок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передачі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оренду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відчудження</w:t>
      </w:r>
      <w:proofErr w:type="spellEnd"/>
      <w:r>
        <w:rPr>
          <w:sz w:val="26"/>
          <w:szCs w:val="26"/>
        </w:rPr>
        <w:t xml:space="preserve"> майна, яке </w:t>
      </w:r>
      <w:proofErr w:type="spellStart"/>
      <w:r>
        <w:rPr>
          <w:sz w:val="26"/>
          <w:szCs w:val="26"/>
        </w:rPr>
        <w:t>перейшло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комунальної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внаслідок</w:t>
      </w:r>
      <w:proofErr w:type="spellEnd"/>
      <w:r>
        <w:rPr>
          <w:sz w:val="26"/>
          <w:szCs w:val="26"/>
        </w:rPr>
        <w:t xml:space="preserve"> судового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про передачу </w:t>
      </w:r>
      <w:proofErr w:type="spellStart"/>
      <w:r>
        <w:rPr>
          <w:sz w:val="26"/>
          <w:szCs w:val="26"/>
        </w:rPr>
        <w:t>безхазяйного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нерухомого</w:t>
      </w:r>
      <w:proofErr w:type="spellEnd"/>
      <w:r>
        <w:rPr>
          <w:sz w:val="26"/>
          <w:szCs w:val="26"/>
        </w:rPr>
        <w:t xml:space="preserve"> майна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відумерлої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спадщини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комунальну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власність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згідно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яким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органи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самоврядування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імені</w:t>
      </w:r>
      <w:proofErr w:type="spellEnd"/>
      <w:r>
        <w:rPr>
          <w:sz w:val="26"/>
          <w:szCs w:val="26"/>
        </w:rPr>
        <w:t xml:space="preserve"> та в </w:t>
      </w:r>
      <w:proofErr w:type="spellStart"/>
      <w:r>
        <w:rPr>
          <w:sz w:val="26"/>
          <w:szCs w:val="26"/>
        </w:rPr>
        <w:t>інтересах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Синельникового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закону </w:t>
      </w:r>
      <w:proofErr w:type="spellStart"/>
      <w:r>
        <w:rPr>
          <w:sz w:val="26"/>
          <w:szCs w:val="26"/>
        </w:rPr>
        <w:t>можуть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правомочності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володіння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розпорядження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зазначеними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об’єктами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нерухомого</w:t>
      </w:r>
      <w:proofErr w:type="spellEnd"/>
      <w:r>
        <w:rPr>
          <w:sz w:val="26"/>
          <w:szCs w:val="26"/>
        </w:rPr>
        <w:t xml:space="preserve"> майна.</w:t>
      </w:r>
    </w:p>
    <w:p w:rsidR="000076C5" w:rsidRPr="006B328E" w:rsidRDefault="000076C5" w:rsidP="000076C5">
      <w:pPr>
        <w:ind w:left="300" w:firstLine="408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8.3.П</w:t>
      </w:r>
      <w:r w:rsidR="006B328E">
        <w:rPr>
          <w:sz w:val="26"/>
          <w:szCs w:val="26"/>
        </w:rPr>
        <w:t xml:space="preserve">рийняття </w:t>
      </w:r>
      <w:r w:rsidR="006B328E">
        <w:rPr>
          <w:sz w:val="26"/>
          <w:szCs w:val="26"/>
          <w:lang w:val="uk-UA"/>
        </w:rPr>
        <w:t xml:space="preserve">даного регуляторного акту </w:t>
      </w:r>
      <w:r>
        <w:rPr>
          <w:sz w:val="26"/>
          <w:szCs w:val="26"/>
        </w:rPr>
        <w:t xml:space="preserve">позитивно </w:t>
      </w:r>
      <w:proofErr w:type="spellStart"/>
      <w:r>
        <w:rPr>
          <w:sz w:val="26"/>
          <w:szCs w:val="26"/>
        </w:rPr>
        <w:t>вплине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регулювання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вирішення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сфері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врегулювання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відносин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виявлення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взяття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обл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lastRenderedPageBreak/>
        <w:t>збереження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використання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рухомого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нерухомого</w:t>
      </w:r>
      <w:proofErr w:type="spellEnd"/>
      <w:r>
        <w:rPr>
          <w:sz w:val="26"/>
          <w:szCs w:val="26"/>
        </w:rPr>
        <w:t xml:space="preserve"> майна, яке </w:t>
      </w:r>
      <w:proofErr w:type="spellStart"/>
      <w:r>
        <w:rPr>
          <w:sz w:val="26"/>
          <w:szCs w:val="26"/>
        </w:rPr>
        <w:t>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безхазяйним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відумерлою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спадщиною</w:t>
      </w:r>
      <w:proofErr w:type="spellEnd"/>
      <w:r>
        <w:rPr>
          <w:sz w:val="26"/>
          <w:szCs w:val="26"/>
        </w:rPr>
        <w:t>.</w:t>
      </w:r>
      <w:r w:rsidR="006B328E">
        <w:rPr>
          <w:sz w:val="26"/>
          <w:szCs w:val="26"/>
          <w:lang w:val="uk-UA"/>
        </w:rPr>
        <w:t xml:space="preserve"> Надасть можливість розподіляти земельні ділянки під </w:t>
      </w:r>
      <w:proofErr w:type="spellStart"/>
      <w:r w:rsidR="006B328E">
        <w:rPr>
          <w:sz w:val="26"/>
          <w:szCs w:val="26"/>
          <w:lang w:val="uk-UA"/>
        </w:rPr>
        <w:t>знищенним</w:t>
      </w:r>
      <w:proofErr w:type="spellEnd"/>
      <w:r w:rsidR="006B328E">
        <w:rPr>
          <w:sz w:val="26"/>
          <w:szCs w:val="26"/>
          <w:lang w:val="uk-UA"/>
        </w:rPr>
        <w:t xml:space="preserve"> нерухомим майном.</w:t>
      </w:r>
    </w:p>
    <w:p w:rsidR="000076C5" w:rsidRDefault="000076C5" w:rsidP="000076C5">
      <w:pPr>
        <w:ind w:left="300" w:firstLine="4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Заходи </w:t>
      </w:r>
      <w:proofErr w:type="spellStart"/>
      <w:r>
        <w:rPr>
          <w:i/>
          <w:sz w:val="26"/>
          <w:szCs w:val="26"/>
        </w:rPr>
        <w:t>з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відстеження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результативності</w:t>
      </w:r>
      <w:proofErr w:type="spellEnd"/>
      <w:r>
        <w:rPr>
          <w:i/>
          <w:sz w:val="26"/>
          <w:szCs w:val="26"/>
        </w:rPr>
        <w:t xml:space="preserve"> акта </w:t>
      </w:r>
    </w:p>
    <w:p w:rsidR="000076C5" w:rsidRDefault="000076C5" w:rsidP="000076C5">
      <w:pPr>
        <w:ind w:left="300" w:firstLine="4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Відстеження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результативності</w:t>
      </w:r>
      <w:proofErr w:type="spellEnd"/>
      <w:r>
        <w:rPr>
          <w:sz w:val="26"/>
          <w:szCs w:val="26"/>
        </w:rPr>
        <w:t xml:space="preserve"> регуляторного акта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встановленому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законодавством</w:t>
      </w:r>
      <w:proofErr w:type="spellEnd"/>
      <w:r>
        <w:rPr>
          <w:sz w:val="26"/>
          <w:szCs w:val="26"/>
        </w:rPr>
        <w:t xml:space="preserve"> порядку. У </w:t>
      </w:r>
      <w:proofErr w:type="spellStart"/>
      <w:r>
        <w:rPr>
          <w:sz w:val="26"/>
          <w:szCs w:val="26"/>
        </w:rPr>
        <w:t>разі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виявлення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неврегульованих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непередбачених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моменті</w:t>
      </w:r>
      <w:proofErr w:type="gramStart"/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передбачається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встановлювати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допомогою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аналізу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якісних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цього</w:t>
      </w:r>
      <w:proofErr w:type="spellEnd"/>
      <w:r>
        <w:rPr>
          <w:sz w:val="26"/>
          <w:szCs w:val="26"/>
        </w:rPr>
        <w:t xml:space="preserve"> акта, буде </w:t>
      </w:r>
      <w:proofErr w:type="spellStart"/>
      <w:r>
        <w:rPr>
          <w:sz w:val="26"/>
          <w:szCs w:val="26"/>
        </w:rPr>
        <w:t>розглядатись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можливість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виправлення</w:t>
      </w:r>
      <w:proofErr w:type="spellEnd"/>
      <w:r>
        <w:rPr>
          <w:sz w:val="26"/>
          <w:szCs w:val="26"/>
        </w:rPr>
        <w:t xml:space="preserve"> шляхом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>.</w:t>
      </w:r>
    </w:p>
    <w:p w:rsidR="000076C5" w:rsidRDefault="000076C5" w:rsidP="000076C5">
      <w:pPr>
        <w:rPr>
          <w:sz w:val="26"/>
          <w:szCs w:val="26"/>
        </w:rPr>
      </w:pPr>
    </w:p>
    <w:p w:rsidR="000076C5" w:rsidRDefault="000076C5" w:rsidP="000076C5">
      <w:pPr>
        <w:rPr>
          <w:sz w:val="26"/>
          <w:szCs w:val="26"/>
        </w:rPr>
      </w:pPr>
    </w:p>
    <w:p w:rsidR="000076C5" w:rsidRDefault="000076C5" w:rsidP="000076C5">
      <w:pPr>
        <w:rPr>
          <w:sz w:val="26"/>
          <w:szCs w:val="26"/>
        </w:rPr>
      </w:pPr>
    </w:p>
    <w:p w:rsidR="000076C5" w:rsidRDefault="000076C5" w:rsidP="000076C5">
      <w:pPr>
        <w:rPr>
          <w:sz w:val="26"/>
          <w:szCs w:val="26"/>
        </w:rPr>
      </w:pPr>
    </w:p>
    <w:p w:rsidR="000076C5" w:rsidRDefault="000076C5" w:rsidP="000076C5">
      <w:pPr>
        <w:ind w:left="-142"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Міський</w:t>
      </w:r>
      <w:proofErr w:type="spellEnd"/>
      <w:r>
        <w:rPr>
          <w:sz w:val="26"/>
          <w:szCs w:val="26"/>
        </w:rPr>
        <w:t xml:space="preserve"> голова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Д.І .</w:t>
      </w:r>
      <w:proofErr w:type="spellStart"/>
      <w:r>
        <w:rPr>
          <w:sz w:val="26"/>
          <w:szCs w:val="26"/>
        </w:rPr>
        <w:t>Зражевський</w:t>
      </w:r>
      <w:proofErr w:type="spellEnd"/>
      <w:r>
        <w:rPr>
          <w:sz w:val="26"/>
          <w:szCs w:val="26"/>
        </w:rPr>
        <w:t xml:space="preserve"> </w:t>
      </w:r>
    </w:p>
    <w:p w:rsidR="000076C5" w:rsidRDefault="000076C5" w:rsidP="000076C5">
      <w:pPr>
        <w:rPr>
          <w:lang w:val="uk-UA"/>
        </w:rPr>
      </w:pPr>
    </w:p>
    <w:p w:rsidR="000076C5" w:rsidRDefault="000076C5" w:rsidP="000076C5">
      <w:pPr>
        <w:rPr>
          <w:sz w:val="26"/>
          <w:szCs w:val="26"/>
        </w:rPr>
      </w:pPr>
    </w:p>
    <w:sectPr w:rsidR="000076C5" w:rsidSect="000076C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5E" w:rsidRDefault="00BD225E" w:rsidP="00854B3D">
      <w:r>
        <w:separator/>
      </w:r>
    </w:p>
  </w:endnote>
  <w:endnote w:type="continuationSeparator" w:id="0">
    <w:p w:rsidR="00BD225E" w:rsidRDefault="00BD225E" w:rsidP="0085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5E" w:rsidRDefault="00BD225E" w:rsidP="00854B3D">
      <w:r>
        <w:separator/>
      </w:r>
    </w:p>
  </w:footnote>
  <w:footnote w:type="continuationSeparator" w:id="0">
    <w:p w:rsidR="00BD225E" w:rsidRDefault="00BD225E" w:rsidP="00854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8D"/>
    <w:multiLevelType w:val="hybridMultilevel"/>
    <w:tmpl w:val="5F5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7B29"/>
    <w:multiLevelType w:val="hybridMultilevel"/>
    <w:tmpl w:val="A92A398C"/>
    <w:lvl w:ilvl="0" w:tplc="1882AF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599B"/>
    <w:multiLevelType w:val="hybridMultilevel"/>
    <w:tmpl w:val="53B4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940EB"/>
    <w:multiLevelType w:val="hybridMultilevel"/>
    <w:tmpl w:val="264EC8B0"/>
    <w:lvl w:ilvl="0" w:tplc="28AC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D50C3"/>
    <w:multiLevelType w:val="hybridMultilevel"/>
    <w:tmpl w:val="A72AA106"/>
    <w:lvl w:ilvl="0" w:tplc="11B225F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C5"/>
    <w:rsid w:val="000076C5"/>
    <w:rsid w:val="001C559C"/>
    <w:rsid w:val="001D6112"/>
    <w:rsid w:val="0026464A"/>
    <w:rsid w:val="003C74C4"/>
    <w:rsid w:val="00546CD2"/>
    <w:rsid w:val="006B328E"/>
    <w:rsid w:val="00706F81"/>
    <w:rsid w:val="00787808"/>
    <w:rsid w:val="007B22CD"/>
    <w:rsid w:val="00854B3D"/>
    <w:rsid w:val="00966402"/>
    <w:rsid w:val="009C1BCF"/>
    <w:rsid w:val="00A03C7E"/>
    <w:rsid w:val="00BD225E"/>
    <w:rsid w:val="00C33CEB"/>
    <w:rsid w:val="00D0416D"/>
    <w:rsid w:val="00DA51FD"/>
    <w:rsid w:val="00EB22C0"/>
    <w:rsid w:val="00F4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5"/>
    <w:pPr>
      <w:ind w:firstLine="0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B3D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5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B3D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2016-07-24T12:54:00Z</dcterms:created>
  <dcterms:modified xsi:type="dcterms:W3CDTF">2016-07-29T06:26:00Z</dcterms:modified>
</cp:coreProperties>
</file>