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1D" w:rsidRDefault="00C34B1D" w:rsidP="00C34B1D">
      <w:pPr>
        <w:shd w:val="clear" w:color="auto" w:fill="FFFFFF"/>
        <w:jc w:val="right"/>
        <w:rPr>
          <w:sz w:val="20"/>
          <w:szCs w:val="20"/>
        </w:rPr>
      </w:pPr>
      <w:r w:rsidRPr="00C34B1D">
        <w:rPr>
          <w:sz w:val="20"/>
          <w:szCs w:val="20"/>
        </w:rPr>
        <w:t>1</w:t>
      </w:r>
    </w:p>
    <w:p w:rsidR="00C34B1D" w:rsidRPr="00C34B1D" w:rsidRDefault="00C34B1D" w:rsidP="00C34B1D">
      <w:pPr>
        <w:shd w:val="clear" w:color="auto" w:fill="FFFFFF"/>
        <w:jc w:val="right"/>
        <w:rPr>
          <w:sz w:val="20"/>
          <w:szCs w:val="20"/>
        </w:rPr>
      </w:pPr>
    </w:p>
    <w:p w:rsidR="008D10AC" w:rsidRPr="00F6315B" w:rsidRDefault="00142103" w:rsidP="0041382C">
      <w:pPr>
        <w:shd w:val="clear" w:color="auto" w:fill="FFFFFF"/>
        <w:jc w:val="center"/>
      </w:pPr>
      <w:r w:rsidRPr="00F6315B">
        <w:t xml:space="preserve">Аналіз регуляторного </w:t>
      </w:r>
      <w:r w:rsidR="008D10AC" w:rsidRPr="00F6315B">
        <w:t xml:space="preserve">впливу – </w:t>
      </w:r>
    </w:p>
    <w:p w:rsidR="00142103" w:rsidRPr="00F6315B" w:rsidRDefault="00142103" w:rsidP="008D10AC">
      <w:pPr>
        <w:shd w:val="clear" w:color="auto" w:fill="FFFFFF"/>
        <w:jc w:val="center"/>
        <w:rPr>
          <w:rStyle w:val="a4"/>
          <w:b w:val="0"/>
        </w:rPr>
      </w:pPr>
      <w:r w:rsidRPr="00F6315B">
        <w:rPr>
          <w:rStyle w:val="a4"/>
          <w:b w:val="0"/>
        </w:rPr>
        <w:t xml:space="preserve">проекту рішення міської ради «Про затвердження </w:t>
      </w:r>
      <w:r w:rsidR="00063F64" w:rsidRPr="00F6315B">
        <w:rPr>
          <w:rStyle w:val="a4"/>
          <w:b w:val="0"/>
        </w:rPr>
        <w:t>П</w:t>
      </w:r>
      <w:r w:rsidRPr="00F6315B">
        <w:rPr>
          <w:rStyle w:val="a4"/>
          <w:b w:val="0"/>
        </w:rPr>
        <w:t>орядк</w:t>
      </w:r>
      <w:r w:rsidR="003B41FA" w:rsidRPr="00F6315B">
        <w:rPr>
          <w:rStyle w:val="a4"/>
          <w:b w:val="0"/>
        </w:rPr>
        <w:t>у</w:t>
      </w:r>
    </w:p>
    <w:p w:rsidR="00142103" w:rsidRPr="00F6315B" w:rsidRDefault="00142103" w:rsidP="008D10AC">
      <w:pPr>
        <w:pStyle w:val="2"/>
        <w:jc w:val="center"/>
        <w:rPr>
          <w:sz w:val="24"/>
          <w:szCs w:val="24"/>
        </w:rPr>
      </w:pPr>
      <w:r w:rsidRPr="00F6315B">
        <w:rPr>
          <w:rStyle w:val="a4"/>
          <w:sz w:val="24"/>
          <w:szCs w:val="24"/>
        </w:rPr>
        <w:t>розміщення телекомунікаційних мереж, мереж зв'язку, іншого слабкострумового обладнання в житлових будинках та  інших об’єктах комунальної власності територіальної громади міста Синельникового»</w:t>
      </w:r>
    </w:p>
    <w:p w:rsidR="00142103" w:rsidRPr="00F6315B" w:rsidRDefault="00142103" w:rsidP="00142103">
      <w:pPr>
        <w:pStyle w:val="2"/>
        <w:jc w:val="both"/>
        <w:rPr>
          <w:b w:val="0"/>
          <w:sz w:val="24"/>
          <w:szCs w:val="24"/>
        </w:rPr>
      </w:pPr>
    </w:p>
    <w:p w:rsidR="00142103" w:rsidRPr="00F6315B" w:rsidRDefault="00142103" w:rsidP="00142103">
      <w:pPr>
        <w:pStyle w:val="a3"/>
        <w:numPr>
          <w:ilvl w:val="0"/>
          <w:numId w:val="1"/>
        </w:numPr>
        <w:jc w:val="both"/>
      </w:pPr>
      <w:r w:rsidRPr="00F6315B">
        <w:rPr>
          <w:bCs/>
          <w:lang w:eastAsia="uk-UA"/>
        </w:rPr>
        <w:t>Опис проблеми, яку планується врегулювати шляхом прийняття рішення</w:t>
      </w:r>
    </w:p>
    <w:p w:rsidR="00142103" w:rsidRPr="00F6315B" w:rsidRDefault="00142103" w:rsidP="00142103">
      <w:pPr>
        <w:ind w:left="708"/>
        <w:jc w:val="both"/>
        <w:rPr>
          <w:b/>
        </w:rPr>
      </w:pPr>
    </w:p>
    <w:p w:rsidR="00FE222F" w:rsidRPr="00F6315B" w:rsidRDefault="00142103" w:rsidP="00142103">
      <w:pPr>
        <w:ind w:firstLine="708"/>
        <w:jc w:val="both"/>
      </w:pPr>
      <w:r w:rsidRPr="00F6315B">
        <w:t>Шляхом запровадженого регуляторного акта - рішення міської ради  «Про затвердження порядк</w:t>
      </w:r>
      <w:r w:rsidR="003B41FA" w:rsidRPr="00F6315B">
        <w:t>у</w:t>
      </w:r>
      <w:r w:rsidRPr="00F6315B">
        <w:t xml:space="preserve"> розміщення телекомунікаційних мереж, мереж зв'язку, іншого слабкострумового обладнання в житлових будинках та  інших об’єктах комунальної власності територіальної громади міста» планується впорядкувати питання надання органами місцевого самоврядування згоди на проектування та розташування телекомунікаційних мереж, мереж зв’язку, супутникових антен, охоронних засобів, іншого слабкострумового обладнання (в подальшому телекомунікаційних мереж) на будівлях і спорудах комунальної власності територіальної громади міста</w:t>
      </w:r>
      <w:r w:rsidR="00FE222F" w:rsidRPr="00F6315B">
        <w:t>.</w:t>
      </w:r>
      <w:r w:rsidRPr="00F6315B">
        <w:t xml:space="preserve"> </w:t>
      </w:r>
    </w:p>
    <w:p w:rsidR="00142103" w:rsidRPr="00F6315B" w:rsidRDefault="00142103" w:rsidP="00142103">
      <w:pPr>
        <w:ind w:firstLine="708"/>
        <w:jc w:val="both"/>
      </w:pPr>
      <w:r w:rsidRPr="00F6315B">
        <w:t>Вирішення цього питання необхідне для подальшого розвитку телекомунікаційних мереж, збільшення видів таких  послуг та покращання якості їх надання для споживачів в місті.   В той же час всі роботи з даного питання повинні проводитись за укладеними угодами, на умовах забезпечення чинного законодавства з питань будівництва, екології, санітарних та протипожежних нормативів,  недопущення пошкодження будівель, споруд та іншого комунального майна.</w:t>
      </w:r>
    </w:p>
    <w:p w:rsidR="00142103" w:rsidRPr="00F6315B" w:rsidRDefault="00142103" w:rsidP="00142103">
      <w:pPr>
        <w:ind w:firstLine="708"/>
        <w:jc w:val="both"/>
      </w:pPr>
    </w:p>
    <w:p w:rsidR="00FE222F" w:rsidRPr="00F6315B" w:rsidRDefault="00142103" w:rsidP="00FE222F">
      <w:pPr>
        <w:jc w:val="both"/>
        <w:rPr>
          <w:lang w:eastAsia="uk-UA"/>
        </w:rPr>
      </w:pPr>
      <w:r w:rsidRPr="00F6315B">
        <w:rPr>
          <w:b/>
        </w:rPr>
        <w:t xml:space="preserve"> </w:t>
      </w:r>
      <w:r w:rsidR="00FE222F" w:rsidRPr="00F6315B">
        <w:rPr>
          <w:b/>
          <w:bCs/>
          <w:lang w:eastAsia="uk-UA"/>
        </w:rPr>
        <w:t>2. Визначення цілей  правового регулювання.</w:t>
      </w:r>
    </w:p>
    <w:p w:rsidR="00FE222F" w:rsidRPr="00F6315B" w:rsidRDefault="00FE222F" w:rsidP="00BD0A47">
      <w:pPr>
        <w:shd w:val="clear" w:color="auto" w:fill="FFFFFF"/>
        <w:ind w:firstLine="708"/>
        <w:jc w:val="both"/>
        <w:rPr>
          <w:b/>
          <w:lang w:eastAsia="uk-UA"/>
        </w:rPr>
      </w:pPr>
      <w:r w:rsidRPr="00F6315B">
        <w:rPr>
          <w:lang w:eastAsia="uk-UA"/>
        </w:rPr>
        <w:t>Метою прийняття рішення Синельниківської міської ради</w:t>
      </w:r>
      <w:r w:rsidRPr="00F6315B">
        <w:rPr>
          <w:b/>
          <w:lang w:eastAsia="uk-UA"/>
        </w:rPr>
        <w:t xml:space="preserve"> </w:t>
      </w:r>
      <w:r w:rsidR="003B41FA" w:rsidRPr="00F6315B">
        <w:rPr>
          <w:rStyle w:val="a4"/>
          <w:b w:val="0"/>
        </w:rPr>
        <w:t>«Про затвердження порядку розміщення телекомунікаційних мереж, мереж зв'язку, іншого слабкострумового обладнання в житлових будинках та  інших об’єктах комунальної власності територіальної громади міста Синельникового»</w:t>
      </w:r>
      <w:r w:rsidRPr="00F6315B">
        <w:rPr>
          <w:b/>
          <w:lang w:eastAsia="uk-UA"/>
        </w:rPr>
        <w:t xml:space="preserve"> </w:t>
      </w:r>
      <w:r w:rsidRPr="00F6315B">
        <w:rPr>
          <w:lang w:eastAsia="uk-UA"/>
        </w:rPr>
        <w:t>є:</w:t>
      </w:r>
    </w:p>
    <w:p w:rsidR="00142103" w:rsidRPr="00F6315B" w:rsidRDefault="00FE222F" w:rsidP="00FE222F">
      <w:pPr>
        <w:ind w:firstLine="708"/>
        <w:jc w:val="both"/>
      </w:pPr>
      <w:r w:rsidRPr="00F6315B">
        <w:rPr>
          <w:lang w:eastAsia="uk-UA"/>
        </w:rPr>
        <w:t xml:space="preserve">1) приведення рішень міської ради у відповідність з законами України </w:t>
      </w:r>
      <w:r w:rsidRPr="00F6315B">
        <w:t>«Про місцеве самоврядування в Україні», «Про телекомунікації», «Про телебачення і радіомовлення»</w:t>
      </w:r>
      <w:r w:rsidR="00AF1163" w:rsidRPr="00F6315B">
        <w:t>.</w:t>
      </w:r>
    </w:p>
    <w:p w:rsidR="00142103" w:rsidRPr="00F6315B" w:rsidRDefault="00142103" w:rsidP="00142103">
      <w:pPr>
        <w:ind w:firstLine="708"/>
        <w:jc w:val="both"/>
      </w:pPr>
      <w:r w:rsidRPr="00F6315B">
        <w:t>Ця проблема не може бути вирішена за допомогою тільки ринкових  механізмів.</w:t>
      </w:r>
    </w:p>
    <w:p w:rsidR="00142103" w:rsidRPr="00F6315B" w:rsidRDefault="00142103" w:rsidP="00142103">
      <w:pPr>
        <w:jc w:val="both"/>
      </w:pPr>
      <w:r w:rsidRPr="00F6315B">
        <w:t>Прийняття запропонованого регуляторного акта дозволить вирішити питання та встановити єдиний механізм для операторів телекомунікацій щодо проектування та розташування телекомунікаційних мереж та обладнання на нежитлових будівлях і спорудах.</w:t>
      </w:r>
    </w:p>
    <w:p w:rsidR="00D53C8F" w:rsidRPr="00F6315B" w:rsidRDefault="00D53C8F" w:rsidP="00AF1163">
      <w:pPr>
        <w:rPr>
          <w:b/>
          <w:bCs/>
          <w:lang w:eastAsia="uk-UA"/>
        </w:rPr>
      </w:pPr>
    </w:p>
    <w:p w:rsidR="00AF1163" w:rsidRPr="00F6315B" w:rsidRDefault="00AF1163" w:rsidP="00AF1163">
      <w:pPr>
        <w:rPr>
          <w:b/>
          <w:bCs/>
          <w:lang w:eastAsia="uk-UA"/>
        </w:rPr>
      </w:pPr>
      <w:r w:rsidRPr="00F6315B">
        <w:rPr>
          <w:b/>
          <w:bCs/>
          <w:lang w:eastAsia="uk-UA"/>
        </w:rPr>
        <w:t>3. Обґрунтування переваг обраного виду правового регулювання.</w:t>
      </w:r>
    </w:p>
    <w:p w:rsidR="00AF1163" w:rsidRPr="00F6315B" w:rsidRDefault="00AF1163" w:rsidP="00AF1163">
      <w:pPr>
        <w:pStyle w:val="a5"/>
        <w:ind w:firstLine="708"/>
        <w:rPr>
          <w:sz w:val="24"/>
          <w:szCs w:val="24"/>
        </w:rPr>
      </w:pPr>
      <w:r w:rsidRPr="00F6315B">
        <w:rPr>
          <w:sz w:val="24"/>
          <w:szCs w:val="24"/>
        </w:rPr>
        <w:t xml:space="preserve">У відповідності з </w:t>
      </w:r>
      <w:r w:rsidRPr="00F6315B">
        <w:rPr>
          <w:sz w:val="24"/>
          <w:szCs w:val="24"/>
          <w:lang w:eastAsia="uk-UA"/>
        </w:rPr>
        <w:t xml:space="preserve">законами України </w:t>
      </w:r>
      <w:r w:rsidRPr="00F6315B">
        <w:rPr>
          <w:sz w:val="24"/>
          <w:szCs w:val="24"/>
        </w:rPr>
        <w:t>«Про місцеве самоврядування в Україні», «Про телекомунікації», «Про телебачення і радіомовлення»,</w:t>
      </w:r>
      <w:r w:rsidRPr="00F6315B">
        <w:rPr>
          <w:rStyle w:val="a4"/>
          <w:sz w:val="24"/>
          <w:szCs w:val="24"/>
        </w:rPr>
        <w:t xml:space="preserve"> </w:t>
      </w:r>
      <w:r w:rsidRPr="00F6315B">
        <w:rPr>
          <w:rStyle w:val="a4"/>
          <w:b w:val="0"/>
          <w:sz w:val="24"/>
          <w:szCs w:val="24"/>
        </w:rPr>
        <w:t>розміщення телекомунікаційних мереж, мереж зв'язку, іншого слабкострумового обладнання в житлових будинках та  інших об’єктах комунальної власності територіальної громади міста Синельникового</w:t>
      </w:r>
      <w:r w:rsidRPr="00F6315B">
        <w:rPr>
          <w:sz w:val="24"/>
          <w:szCs w:val="24"/>
        </w:rPr>
        <w:t xml:space="preserve"> встановлюється Синельниківською міською радою. </w:t>
      </w:r>
    </w:p>
    <w:p w:rsidR="00AF1163" w:rsidRPr="00F6315B" w:rsidRDefault="00AF1163" w:rsidP="00AF1163">
      <w:pPr>
        <w:pStyle w:val="a5"/>
        <w:ind w:firstLine="708"/>
        <w:rPr>
          <w:sz w:val="24"/>
          <w:szCs w:val="24"/>
        </w:rPr>
      </w:pPr>
      <w:r w:rsidRPr="00F6315B">
        <w:rPr>
          <w:sz w:val="24"/>
          <w:szCs w:val="24"/>
        </w:rPr>
        <w:t xml:space="preserve">Таким чином, спеціальним нормативно-правовим актом у галузі </w:t>
      </w:r>
      <w:r w:rsidRPr="00F6315B">
        <w:rPr>
          <w:rStyle w:val="a4"/>
          <w:b w:val="0"/>
          <w:sz w:val="24"/>
          <w:szCs w:val="24"/>
        </w:rPr>
        <w:t>розміщення телекомунікаційних мереж, мереж зв'язку, іншого слабкострумового обладнання в житлових будинках та  інших об’єктах комунальної власності територіальної громади міста Синельникового</w:t>
      </w:r>
      <w:r w:rsidRPr="00F6315B">
        <w:rPr>
          <w:sz w:val="24"/>
          <w:szCs w:val="24"/>
        </w:rPr>
        <w:t xml:space="preserve"> встановлено єдиний законний вид вирішення проблеми, зазначеної у пункті 1 цього Аналізу - прийняття рішення Синельниківської міської ради.</w:t>
      </w:r>
    </w:p>
    <w:p w:rsidR="00AF1163" w:rsidRPr="00F6315B" w:rsidRDefault="00AF1163" w:rsidP="00AF1163">
      <w:pPr>
        <w:pStyle w:val="a5"/>
        <w:ind w:firstLine="708"/>
        <w:rPr>
          <w:sz w:val="24"/>
          <w:szCs w:val="24"/>
        </w:rPr>
      </w:pPr>
      <w:r w:rsidRPr="00F6315B">
        <w:rPr>
          <w:sz w:val="24"/>
          <w:szCs w:val="24"/>
        </w:rPr>
        <w:t>Перевага обраного виду правового регулювання над усіма іншими можливими способами ґрунтується на імперативності (загальнообов'язковості) рішень міської ради для виконання на території міста Синельникового, що передбачено статтею 144 Конституції України та</w:t>
      </w:r>
      <w:r w:rsidR="00CD7560" w:rsidRPr="00F6315B">
        <w:rPr>
          <w:sz w:val="24"/>
          <w:szCs w:val="24"/>
        </w:rPr>
        <w:t xml:space="preserve"> </w:t>
      </w:r>
      <w:r w:rsidRPr="00F6315B">
        <w:rPr>
          <w:sz w:val="24"/>
          <w:szCs w:val="24"/>
        </w:rPr>
        <w:t>статтею 73 Закону України «Про місцеве самоврядування в Україні».</w:t>
      </w:r>
    </w:p>
    <w:p w:rsidR="00C34B1D" w:rsidRPr="00AE51DD" w:rsidRDefault="00AF1163" w:rsidP="00AE51DD">
      <w:pPr>
        <w:shd w:val="clear" w:color="auto" w:fill="FFFFFF"/>
        <w:ind w:firstLine="708"/>
        <w:jc w:val="both"/>
        <w:rPr>
          <w:rStyle w:val="a4"/>
          <w:b w:val="0"/>
        </w:rPr>
      </w:pPr>
      <w:r w:rsidRPr="00F6315B">
        <w:t>Вирішення проблеми, зазначеної у пункті 1 цього Аналізу можливе лише шляхом прийняття рішення Синельниківської  міської ради «</w:t>
      </w:r>
      <w:r w:rsidRPr="00F6315B">
        <w:rPr>
          <w:rStyle w:val="a4"/>
          <w:b w:val="0"/>
        </w:rPr>
        <w:t xml:space="preserve">Про затвердження порядку розміщення телекомунікаційних мереж, мереж зв'язку, іншого слабкострумового обладнання в житлових </w:t>
      </w:r>
    </w:p>
    <w:p w:rsidR="002E16A8" w:rsidRPr="00F6315B" w:rsidRDefault="00AF1163" w:rsidP="00D53C8F">
      <w:pPr>
        <w:shd w:val="clear" w:color="auto" w:fill="FFFFFF"/>
        <w:ind w:firstLine="708"/>
        <w:jc w:val="both"/>
      </w:pPr>
      <w:r w:rsidRPr="00F6315B">
        <w:rPr>
          <w:rStyle w:val="a4"/>
          <w:b w:val="0"/>
        </w:rPr>
        <w:lastRenderedPageBreak/>
        <w:t>будинках та  інших об’єктах комунальної власності територіальної громади міста Синельникового»</w:t>
      </w:r>
      <w:r w:rsidRPr="00F6315B">
        <w:t xml:space="preserve">. </w:t>
      </w:r>
    </w:p>
    <w:p w:rsidR="00AF1163" w:rsidRPr="00F6315B" w:rsidRDefault="00AF1163" w:rsidP="00D53C8F">
      <w:pPr>
        <w:shd w:val="clear" w:color="auto" w:fill="FFFFFF"/>
        <w:ind w:firstLine="708"/>
        <w:jc w:val="both"/>
      </w:pPr>
      <w:r w:rsidRPr="00F6315B">
        <w:t>Інші альтернативні способи (механізми) досягнення мети не передбаченні чинним законодавством.</w:t>
      </w:r>
    </w:p>
    <w:p w:rsidR="00AF1163" w:rsidRPr="00F6315B" w:rsidRDefault="00AF1163" w:rsidP="00AF1163">
      <w:pPr>
        <w:pStyle w:val="a5"/>
        <w:ind w:firstLine="708"/>
        <w:rPr>
          <w:sz w:val="24"/>
          <w:szCs w:val="24"/>
        </w:rPr>
      </w:pPr>
      <w:r w:rsidRPr="00F6315B">
        <w:rPr>
          <w:sz w:val="24"/>
          <w:szCs w:val="24"/>
        </w:rPr>
        <w:t>Залишення без змін актів органів місцевого самоврядування, що регулюють питання розміщення зовнішньої реклами у місті Синельниковому, як один з альтернативних способів досягнення цілей, не може бути реалізований, оскільки суперечить вимогам актів чинного законодавства.</w:t>
      </w:r>
    </w:p>
    <w:p w:rsidR="00AF1163" w:rsidRPr="00F6315B" w:rsidRDefault="00AF1163" w:rsidP="00AF1163">
      <w:pPr>
        <w:pStyle w:val="a5"/>
        <w:ind w:firstLine="708"/>
        <w:rPr>
          <w:sz w:val="24"/>
          <w:szCs w:val="24"/>
        </w:rPr>
      </w:pPr>
      <w:r w:rsidRPr="00F6315B">
        <w:rPr>
          <w:sz w:val="24"/>
          <w:szCs w:val="24"/>
        </w:rPr>
        <w:t xml:space="preserve">Визначені у пункті 2 цього Аналізу цілі не можуть бути досягнуті за допомогою ринкових механізмів, оскільки останні не мають імперативного характеру та базуються на принципах </w:t>
      </w:r>
      <w:proofErr w:type="spellStart"/>
      <w:r w:rsidRPr="00F6315B">
        <w:rPr>
          <w:sz w:val="24"/>
          <w:szCs w:val="24"/>
        </w:rPr>
        <w:t>диспозитивності</w:t>
      </w:r>
      <w:proofErr w:type="spellEnd"/>
      <w:r w:rsidRPr="00F6315B">
        <w:rPr>
          <w:sz w:val="24"/>
          <w:szCs w:val="24"/>
        </w:rPr>
        <w:t xml:space="preserve"> та передбачають урахування вимог та інтересів всіх операторів ринку.</w:t>
      </w:r>
    </w:p>
    <w:p w:rsidR="00AF1163" w:rsidRPr="00F6315B" w:rsidRDefault="00AF1163" w:rsidP="00AF1163">
      <w:pPr>
        <w:pStyle w:val="a5"/>
        <w:ind w:firstLine="708"/>
        <w:rPr>
          <w:sz w:val="24"/>
          <w:szCs w:val="24"/>
        </w:rPr>
      </w:pPr>
      <w:r w:rsidRPr="00F6315B">
        <w:rPr>
          <w:sz w:val="24"/>
          <w:szCs w:val="24"/>
        </w:rPr>
        <w:t>Крім того, застосування інших засобів розв'язання проблеми, не передбачених чинним законодавством, може бути визнано таким, що суперечить чинному законодавству та є неприпустимим.</w:t>
      </w:r>
    </w:p>
    <w:p w:rsidR="002E16A8" w:rsidRPr="00F6315B" w:rsidRDefault="002E16A8" w:rsidP="002E16A8">
      <w:pPr>
        <w:rPr>
          <w:lang w:eastAsia="uk-UA"/>
        </w:rPr>
      </w:pPr>
      <w:r w:rsidRPr="00F6315B">
        <w:rPr>
          <w:b/>
          <w:bCs/>
          <w:lang w:eastAsia="uk-UA"/>
        </w:rPr>
        <w:t>4. Опис механізмів та заходів, що пропонуються для вирішення проблеми.</w:t>
      </w:r>
    </w:p>
    <w:p w:rsidR="00CD7560" w:rsidRPr="00F6315B" w:rsidRDefault="002E16A8" w:rsidP="00CD7560">
      <w:pPr>
        <w:ind w:firstLine="708"/>
        <w:jc w:val="both"/>
      </w:pPr>
      <w:r w:rsidRPr="00F6315B">
        <w:t>Досягнення регуляторних цілей та розв’язання існуючої проблеми в місті передбачається шляхом:</w:t>
      </w:r>
    </w:p>
    <w:p w:rsidR="00CD7560" w:rsidRPr="00F6315B" w:rsidRDefault="002E16A8" w:rsidP="00CD7560">
      <w:pPr>
        <w:ind w:firstLine="708"/>
        <w:jc w:val="both"/>
        <w:rPr>
          <w:b/>
        </w:rPr>
      </w:pPr>
      <w:r w:rsidRPr="00F6315B">
        <w:t xml:space="preserve">1. Підготовки проекту рішення міської ради </w:t>
      </w:r>
      <w:r w:rsidRPr="00F6315B">
        <w:rPr>
          <w:rStyle w:val="a4"/>
          <w:b w:val="0"/>
        </w:rPr>
        <w:t xml:space="preserve">«Про затвердження </w:t>
      </w:r>
      <w:r w:rsidR="00CD7560" w:rsidRPr="00F6315B">
        <w:rPr>
          <w:rStyle w:val="a4"/>
          <w:b w:val="0"/>
        </w:rPr>
        <w:t>П</w:t>
      </w:r>
      <w:r w:rsidRPr="00F6315B">
        <w:rPr>
          <w:rStyle w:val="a4"/>
          <w:b w:val="0"/>
        </w:rPr>
        <w:t>орядку</w:t>
      </w:r>
      <w:r w:rsidR="00CD7560" w:rsidRPr="00F6315B">
        <w:rPr>
          <w:rStyle w:val="a4"/>
          <w:b w:val="0"/>
        </w:rPr>
        <w:t xml:space="preserve"> </w:t>
      </w:r>
      <w:r w:rsidRPr="00F6315B">
        <w:rPr>
          <w:rStyle w:val="a4"/>
          <w:b w:val="0"/>
        </w:rPr>
        <w:t>розміщення телекомунікаційних мереж, мереж зв'язку, іншого слабкострумового обладнання в житлових будинках та  інших об’єктах комунальної власності територіальної громади міста Синельникового»</w:t>
      </w:r>
      <w:r w:rsidRPr="00F6315B">
        <w:t>.</w:t>
      </w:r>
    </w:p>
    <w:p w:rsidR="002E16A8" w:rsidRPr="00F6315B" w:rsidRDefault="002E16A8" w:rsidP="00CD7560">
      <w:pPr>
        <w:ind w:firstLine="708"/>
        <w:jc w:val="both"/>
      </w:pPr>
      <w:r w:rsidRPr="00F6315B">
        <w:t>2. Проведення обговорення даного питання за участю зацікавлених підприємців, депутатів міської ради, державних наглядових служб, керівників підприємств, що експлуатують міський житловий фонд.</w:t>
      </w:r>
    </w:p>
    <w:p w:rsidR="002E16A8" w:rsidRPr="00F6315B" w:rsidRDefault="002E16A8" w:rsidP="002E16A8">
      <w:pPr>
        <w:ind w:firstLine="708"/>
        <w:jc w:val="both"/>
      </w:pPr>
      <w:r w:rsidRPr="00F6315B">
        <w:t>3. Внесення проекту даного регуляторного акта з урахуванням пропозицій, які надійшли за наслідками його опублікування та під час обговорення, на розгляд міської ради.</w:t>
      </w:r>
    </w:p>
    <w:p w:rsidR="002E16A8" w:rsidRPr="00F6315B" w:rsidRDefault="002E16A8" w:rsidP="002E16A8">
      <w:pPr>
        <w:ind w:firstLine="708"/>
        <w:jc w:val="both"/>
      </w:pPr>
      <w:r w:rsidRPr="00F6315B">
        <w:t xml:space="preserve">4. Інформування громадян через </w:t>
      </w:r>
      <w:proofErr w:type="spellStart"/>
      <w:r w:rsidR="00CD7560" w:rsidRPr="00F6315B">
        <w:t>веб-сайт</w:t>
      </w:r>
      <w:proofErr w:type="spellEnd"/>
      <w:r w:rsidR="00CD7560" w:rsidRPr="00F6315B">
        <w:t xml:space="preserve"> міської ради</w:t>
      </w:r>
      <w:r w:rsidRPr="00F6315B">
        <w:t xml:space="preserve"> про прийняття регуляторного акта та результати відстеження його дії.</w:t>
      </w:r>
    </w:p>
    <w:p w:rsidR="00430135" w:rsidRPr="00F6315B" w:rsidRDefault="00430135" w:rsidP="00430135">
      <w:pPr>
        <w:rPr>
          <w:lang w:eastAsia="uk-UA"/>
        </w:rPr>
      </w:pPr>
      <w:r w:rsidRPr="00F6315B">
        <w:rPr>
          <w:b/>
          <w:bCs/>
          <w:lang w:eastAsia="uk-UA"/>
        </w:rPr>
        <w:t>5. Обґрунтування можливостей досягнення мети у разі прийняття рішення.</w:t>
      </w:r>
    </w:p>
    <w:p w:rsidR="00D53C8F" w:rsidRPr="00F6315B" w:rsidRDefault="00D53C8F" w:rsidP="008D18CD">
      <w:pPr>
        <w:ind w:firstLine="708"/>
        <w:jc w:val="both"/>
        <w:rPr>
          <w:lang w:eastAsia="uk-UA"/>
        </w:rPr>
      </w:pPr>
      <w:r w:rsidRPr="00F6315B">
        <w:rPr>
          <w:lang w:eastAsia="uk-UA"/>
        </w:rPr>
        <w:t xml:space="preserve">Можливість досягнення цілей, передбачених пунктом 2 цього Аналізу, у разі прийняття зазначеного рішення, є цілком реальною та обґрунтованою у зв'язку з тим, що метою створення проекту зазначеного рішення є цілеспрямоване вирішення зазначених проблем. </w:t>
      </w:r>
    </w:p>
    <w:p w:rsidR="00D53C8F" w:rsidRPr="00F6315B" w:rsidRDefault="00D53C8F" w:rsidP="008D18CD">
      <w:pPr>
        <w:ind w:firstLine="708"/>
        <w:jc w:val="both"/>
        <w:rPr>
          <w:lang w:eastAsia="uk-UA"/>
        </w:rPr>
      </w:pPr>
      <w:r w:rsidRPr="00F6315B">
        <w:rPr>
          <w:lang w:eastAsia="uk-UA"/>
        </w:rPr>
        <w:t xml:space="preserve">Економічні показники доходності від </w:t>
      </w:r>
      <w:r w:rsidRPr="00F6315B">
        <w:rPr>
          <w:rStyle w:val="a4"/>
          <w:b w:val="0"/>
        </w:rPr>
        <w:t>розміщення телекомунікаційних мереж, мереж зв'язку, іншого слабкострумового обладнання в житлових будинках та  інших об’єктах комунальної власності територіальної громади міста</w:t>
      </w:r>
      <w:r w:rsidRPr="00F6315B">
        <w:rPr>
          <w:rStyle w:val="a4"/>
        </w:rPr>
        <w:t xml:space="preserve"> </w:t>
      </w:r>
      <w:r w:rsidRPr="00F6315B">
        <w:rPr>
          <w:lang w:eastAsia="uk-UA"/>
        </w:rPr>
        <w:t>говорять про ефективність та доцільність застосування наведених вище засобів вирішення проблеми.</w:t>
      </w:r>
    </w:p>
    <w:p w:rsidR="00064455" w:rsidRPr="00F6315B" w:rsidRDefault="00D53C8F" w:rsidP="008D18CD">
      <w:pPr>
        <w:ind w:firstLine="708"/>
        <w:jc w:val="both"/>
        <w:rPr>
          <w:lang w:eastAsia="uk-UA"/>
        </w:rPr>
      </w:pPr>
      <w:r w:rsidRPr="00F6315B">
        <w:rPr>
          <w:lang w:eastAsia="uk-UA"/>
        </w:rPr>
        <w:t>До негативних обставин, які можуть впливати на виконання вимог рішення міської ради можна віднести:</w:t>
      </w:r>
    </w:p>
    <w:p w:rsidR="00064455" w:rsidRPr="00F6315B" w:rsidRDefault="00064455" w:rsidP="008D18CD">
      <w:pPr>
        <w:ind w:firstLine="708"/>
        <w:jc w:val="both"/>
      </w:pPr>
      <w:r w:rsidRPr="00F6315B">
        <w:rPr>
          <w:lang w:eastAsia="uk-UA"/>
        </w:rPr>
        <w:t xml:space="preserve">- </w:t>
      </w:r>
      <w:r w:rsidRPr="00F6315B">
        <w:t>зміни у чинному законодавстві, які можуть впливати на дію запропонованого регуляторного акта, у разі чого до нього вноситимуться відповідні зміни та доповнення.</w:t>
      </w:r>
    </w:p>
    <w:p w:rsidR="00D53C8F" w:rsidRPr="00F6315B" w:rsidRDefault="00064455" w:rsidP="008D18CD">
      <w:pPr>
        <w:ind w:firstLine="708"/>
        <w:jc w:val="both"/>
      </w:pPr>
      <w:r w:rsidRPr="00F6315B">
        <w:t>- ризики для територіальної громади, пов’язані зі впливом електромагнітного випромінювання телекомунікаційного обладнання, будуть знаходитися під постійним контролем з боку санітарно-епідеміологічної служби, яка здійснюватиме відповідну експертизу до початку проектування, контрольні виміри шкідливого впливу при введенні в експлуатацію телекомунікаційної мережі та подальший його систематичний моніторинг.</w:t>
      </w:r>
    </w:p>
    <w:p w:rsidR="00064455" w:rsidRPr="00F6315B" w:rsidRDefault="00064455" w:rsidP="00064455">
      <w:pPr>
        <w:rPr>
          <w:lang w:eastAsia="uk-UA"/>
        </w:rPr>
      </w:pPr>
      <w:r w:rsidRPr="00F6315B">
        <w:rPr>
          <w:b/>
          <w:bCs/>
          <w:lang w:eastAsia="uk-UA"/>
        </w:rPr>
        <w:t>6. Визначення очікуваних результатів прийняття рішення.</w:t>
      </w:r>
    </w:p>
    <w:p w:rsidR="00064455" w:rsidRDefault="00064455" w:rsidP="008D18CD">
      <w:pPr>
        <w:ind w:firstLine="708"/>
        <w:jc w:val="both"/>
        <w:rPr>
          <w:lang w:eastAsia="uk-UA"/>
        </w:rPr>
      </w:pPr>
      <w:r w:rsidRPr="00F6315B">
        <w:rPr>
          <w:lang w:eastAsia="uk-UA"/>
        </w:rPr>
        <w:t>За результатами прийняття зазначеного рішення міської ради має бути досягнуто цілей, передбачених у пункті 2 цього Аналізу.</w:t>
      </w:r>
    </w:p>
    <w:p w:rsidR="00C34B1D" w:rsidRDefault="00C34B1D" w:rsidP="008D18CD">
      <w:pPr>
        <w:ind w:firstLine="708"/>
        <w:jc w:val="both"/>
        <w:rPr>
          <w:lang w:eastAsia="uk-UA"/>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Look w:val="04A0"/>
      </w:tblPr>
      <w:tblGrid>
        <w:gridCol w:w="2188"/>
        <w:gridCol w:w="3991"/>
        <w:gridCol w:w="3744"/>
      </w:tblGrid>
      <w:tr w:rsidR="004D4F09" w:rsidRPr="00F6315B" w:rsidTr="009E1254">
        <w:trPr>
          <w:tblCellSpacing w:w="7" w:type="dxa"/>
          <w:jc w:val="center"/>
        </w:trPr>
        <w:tc>
          <w:tcPr>
            <w:tcW w:w="0" w:type="auto"/>
            <w:tcBorders>
              <w:top w:val="single" w:sz="8" w:space="0" w:color="auto"/>
              <w:left w:val="single" w:sz="8" w:space="0" w:color="auto"/>
              <w:bottom w:val="single" w:sz="8" w:space="0" w:color="auto"/>
              <w:right w:val="single" w:sz="8" w:space="0" w:color="auto"/>
            </w:tcBorders>
          </w:tcPr>
          <w:p w:rsidR="00064455" w:rsidRPr="00F6315B" w:rsidRDefault="00064455" w:rsidP="009E1254">
            <w:pPr>
              <w:jc w:val="both"/>
              <w:rPr>
                <w:lang w:eastAsia="uk-UA"/>
              </w:rPr>
            </w:pPr>
            <w:r w:rsidRPr="00F6315B">
              <w:rPr>
                <w:b/>
                <w:bCs/>
                <w:lang w:eastAsia="uk-UA"/>
              </w:rPr>
              <w:t>Сфера впливу</w:t>
            </w:r>
          </w:p>
        </w:tc>
        <w:tc>
          <w:tcPr>
            <w:tcW w:w="0" w:type="auto"/>
            <w:tcBorders>
              <w:top w:val="single" w:sz="8" w:space="0" w:color="auto"/>
              <w:left w:val="nil"/>
              <w:bottom w:val="single" w:sz="8" w:space="0" w:color="auto"/>
              <w:right w:val="single" w:sz="8" w:space="0" w:color="auto"/>
            </w:tcBorders>
          </w:tcPr>
          <w:p w:rsidR="00064455" w:rsidRPr="00F6315B" w:rsidRDefault="00064455" w:rsidP="009E1254">
            <w:pPr>
              <w:jc w:val="both"/>
              <w:rPr>
                <w:lang w:eastAsia="uk-UA"/>
              </w:rPr>
            </w:pPr>
            <w:r w:rsidRPr="00F6315B">
              <w:rPr>
                <w:b/>
                <w:bCs/>
                <w:lang w:eastAsia="uk-UA"/>
              </w:rPr>
              <w:t>Можливі вигоди</w:t>
            </w:r>
          </w:p>
        </w:tc>
        <w:tc>
          <w:tcPr>
            <w:tcW w:w="0" w:type="auto"/>
            <w:tcBorders>
              <w:top w:val="single" w:sz="8" w:space="0" w:color="auto"/>
              <w:left w:val="nil"/>
              <w:bottom w:val="single" w:sz="8" w:space="0" w:color="auto"/>
              <w:right w:val="single" w:sz="8" w:space="0" w:color="auto"/>
            </w:tcBorders>
          </w:tcPr>
          <w:p w:rsidR="00064455" w:rsidRPr="00F6315B" w:rsidRDefault="00064455" w:rsidP="009E1254">
            <w:pPr>
              <w:jc w:val="both"/>
              <w:rPr>
                <w:lang w:eastAsia="uk-UA"/>
              </w:rPr>
            </w:pPr>
            <w:r w:rsidRPr="00F6315B">
              <w:rPr>
                <w:b/>
                <w:bCs/>
                <w:lang w:eastAsia="uk-UA"/>
              </w:rPr>
              <w:t>Можливі витрати</w:t>
            </w:r>
          </w:p>
        </w:tc>
      </w:tr>
      <w:tr w:rsidR="004D4F09" w:rsidRPr="00F6315B" w:rsidTr="009E1254">
        <w:trPr>
          <w:tblCellSpacing w:w="7" w:type="dxa"/>
          <w:jc w:val="center"/>
        </w:trPr>
        <w:tc>
          <w:tcPr>
            <w:tcW w:w="0" w:type="auto"/>
            <w:tcBorders>
              <w:top w:val="nil"/>
              <w:left w:val="single" w:sz="8" w:space="0" w:color="auto"/>
              <w:bottom w:val="single" w:sz="8" w:space="0" w:color="auto"/>
              <w:right w:val="single" w:sz="8" w:space="0" w:color="auto"/>
            </w:tcBorders>
          </w:tcPr>
          <w:p w:rsidR="00064455" w:rsidRPr="00F6315B" w:rsidRDefault="00064455" w:rsidP="00AE51DD">
            <w:pPr>
              <w:rPr>
                <w:lang w:eastAsia="uk-UA"/>
              </w:rPr>
            </w:pPr>
            <w:r w:rsidRPr="00F6315B">
              <w:rPr>
                <w:lang w:eastAsia="uk-UA"/>
              </w:rPr>
              <w:t xml:space="preserve">Громадяни та  </w:t>
            </w:r>
            <w:r w:rsidR="00AA1BA1" w:rsidRPr="00F6315B">
              <w:t xml:space="preserve">оператори </w:t>
            </w:r>
            <w:r w:rsidR="00AA1BA1" w:rsidRPr="00F6315B">
              <w:lastRenderedPageBreak/>
              <w:t>телекомунікацій</w:t>
            </w:r>
            <w:r w:rsidR="00AA1BA1" w:rsidRPr="00F6315B">
              <w:rPr>
                <w:lang w:eastAsia="uk-UA"/>
              </w:rPr>
              <w:t xml:space="preserve"> </w:t>
            </w:r>
          </w:p>
        </w:tc>
        <w:tc>
          <w:tcPr>
            <w:tcW w:w="0" w:type="auto"/>
            <w:tcBorders>
              <w:top w:val="nil"/>
              <w:left w:val="nil"/>
              <w:bottom w:val="single" w:sz="8" w:space="0" w:color="auto"/>
              <w:right w:val="single" w:sz="8" w:space="0" w:color="auto"/>
            </w:tcBorders>
          </w:tcPr>
          <w:p w:rsidR="00064455" w:rsidRPr="00F6315B" w:rsidRDefault="00064455" w:rsidP="009E1254">
            <w:pPr>
              <w:rPr>
                <w:lang w:eastAsia="uk-UA"/>
              </w:rPr>
            </w:pPr>
            <w:r w:rsidRPr="00F6315B">
              <w:rPr>
                <w:lang w:eastAsia="uk-UA"/>
              </w:rPr>
              <w:lastRenderedPageBreak/>
              <w:t>1. Досягнення цілей передбачених п.  2 цього аналізу.</w:t>
            </w:r>
          </w:p>
          <w:p w:rsidR="00064455" w:rsidRPr="00F6315B" w:rsidRDefault="00064455" w:rsidP="009E1254">
            <w:pPr>
              <w:rPr>
                <w:lang w:eastAsia="uk-UA"/>
              </w:rPr>
            </w:pPr>
            <w:r w:rsidRPr="00F6315B">
              <w:rPr>
                <w:lang w:eastAsia="uk-UA"/>
              </w:rPr>
              <w:lastRenderedPageBreak/>
              <w:t xml:space="preserve">2. Виключення ситуацій, пов’язаних з можливими корупційними діями, неофіційними витратами </w:t>
            </w:r>
            <w:r w:rsidR="00AA1BA1" w:rsidRPr="00F6315B">
              <w:t>операторами телекомунікацій</w:t>
            </w:r>
            <w:r w:rsidR="00D368BD" w:rsidRPr="00F6315B">
              <w:t>.</w:t>
            </w:r>
          </w:p>
          <w:p w:rsidR="00064455" w:rsidRPr="00F6315B" w:rsidRDefault="00064455" w:rsidP="009E1254">
            <w:pPr>
              <w:rPr>
                <w:lang w:eastAsia="uk-UA"/>
              </w:rPr>
            </w:pPr>
            <w:r w:rsidRPr="00F6315B">
              <w:rPr>
                <w:lang w:eastAsia="uk-UA"/>
              </w:rPr>
              <w:t xml:space="preserve">3. Створення прозорої системи прийняття рішень виконавчого комітету Синельниківської  міської ради про </w:t>
            </w:r>
            <w:r w:rsidR="00AA1BA1" w:rsidRPr="00F6315B">
              <w:rPr>
                <w:lang w:eastAsia="uk-UA"/>
              </w:rPr>
              <w:t xml:space="preserve">розміщення </w:t>
            </w:r>
            <w:r w:rsidR="00AA1BA1" w:rsidRPr="00F6315B">
              <w:t>телекомунікаційних мереж та обладнання</w:t>
            </w:r>
            <w:r w:rsidR="00D368BD" w:rsidRPr="00F6315B">
              <w:t>.</w:t>
            </w:r>
          </w:p>
          <w:p w:rsidR="00064455" w:rsidRPr="00F6315B" w:rsidRDefault="00064455" w:rsidP="009E1254">
            <w:pPr>
              <w:jc w:val="both"/>
              <w:rPr>
                <w:lang w:eastAsia="uk-UA"/>
              </w:rPr>
            </w:pPr>
            <w:r w:rsidRPr="00F6315B">
              <w:rPr>
                <w:lang w:eastAsia="uk-UA"/>
              </w:rPr>
              <w:t>4.</w:t>
            </w:r>
            <w:r w:rsidR="008D18CD">
              <w:rPr>
                <w:lang w:eastAsia="uk-UA"/>
              </w:rPr>
              <w:t xml:space="preserve"> </w:t>
            </w:r>
            <w:r w:rsidRPr="00F6315B">
              <w:rPr>
                <w:lang w:eastAsia="uk-UA"/>
              </w:rPr>
              <w:t xml:space="preserve"> Додаткове забезпечення можливості оскарження незаконний дій з боку осіб, уповноважених на вчинення відповідних власних повноважень.</w:t>
            </w:r>
          </w:p>
        </w:tc>
        <w:tc>
          <w:tcPr>
            <w:tcW w:w="0" w:type="auto"/>
            <w:tcBorders>
              <w:top w:val="nil"/>
              <w:left w:val="nil"/>
              <w:bottom w:val="single" w:sz="8" w:space="0" w:color="auto"/>
              <w:right w:val="single" w:sz="8" w:space="0" w:color="auto"/>
            </w:tcBorders>
          </w:tcPr>
          <w:p w:rsidR="00064455" w:rsidRPr="00F6315B" w:rsidRDefault="00064455" w:rsidP="009E1254">
            <w:pPr>
              <w:rPr>
                <w:lang w:eastAsia="uk-UA"/>
              </w:rPr>
            </w:pPr>
            <w:r w:rsidRPr="00F6315B">
              <w:rPr>
                <w:lang w:eastAsia="uk-UA"/>
              </w:rPr>
              <w:lastRenderedPageBreak/>
              <w:t>1. Витрати на прийняття рішення відсутні.</w:t>
            </w:r>
          </w:p>
          <w:p w:rsidR="00064455" w:rsidRPr="00F6315B" w:rsidRDefault="00064455" w:rsidP="003C7D55">
            <w:pPr>
              <w:rPr>
                <w:lang w:eastAsia="uk-UA"/>
              </w:rPr>
            </w:pPr>
            <w:r w:rsidRPr="00F6315B">
              <w:rPr>
                <w:lang w:eastAsia="uk-UA"/>
              </w:rPr>
              <w:lastRenderedPageBreak/>
              <w:t xml:space="preserve">2. Витрати, пов’язані з його впровадженням не можуть бути прогнозованими, оскільки прямо залежать від практичної ситуації – розміщення </w:t>
            </w:r>
            <w:r w:rsidR="00AA1BA1" w:rsidRPr="00F6315B">
              <w:t>телекомунікаційних мереж та обладнання</w:t>
            </w:r>
          </w:p>
        </w:tc>
      </w:tr>
      <w:tr w:rsidR="004D4F09" w:rsidRPr="00F6315B" w:rsidTr="009E1254">
        <w:trPr>
          <w:tblCellSpacing w:w="7" w:type="dxa"/>
          <w:jc w:val="center"/>
        </w:trPr>
        <w:tc>
          <w:tcPr>
            <w:tcW w:w="0" w:type="auto"/>
            <w:tcBorders>
              <w:top w:val="nil"/>
              <w:left w:val="single" w:sz="8" w:space="0" w:color="auto"/>
              <w:bottom w:val="single" w:sz="8" w:space="0" w:color="auto"/>
              <w:right w:val="single" w:sz="8" w:space="0" w:color="auto"/>
            </w:tcBorders>
          </w:tcPr>
          <w:p w:rsidR="00064455" w:rsidRPr="00F6315B" w:rsidRDefault="00064455" w:rsidP="009E1254">
            <w:pPr>
              <w:jc w:val="both"/>
              <w:rPr>
                <w:lang w:eastAsia="uk-UA"/>
              </w:rPr>
            </w:pPr>
            <w:r w:rsidRPr="00F6315B">
              <w:rPr>
                <w:lang w:eastAsia="uk-UA"/>
              </w:rPr>
              <w:lastRenderedPageBreak/>
              <w:t xml:space="preserve">Органи місцевого самоврядування </w:t>
            </w:r>
          </w:p>
        </w:tc>
        <w:tc>
          <w:tcPr>
            <w:tcW w:w="0" w:type="auto"/>
            <w:tcBorders>
              <w:top w:val="nil"/>
              <w:left w:val="nil"/>
              <w:bottom w:val="single" w:sz="8" w:space="0" w:color="auto"/>
              <w:right w:val="single" w:sz="8" w:space="0" w:color="auto"/>
            </w:tcBorders>
          </w:tcPr>
          <w:p w:rsidR="00064455" w:rsidRPr="00F6315B" w:rsidRDefault="00064455" w:rsidP="009E1254">
            <w:pPr>
              <w:rPr>
                <w:lang w:eastAsia="uk-UA"/>
              </w:rPr>
            </w:pPr>
            <w:r w:rsidRPr="00F6315B">
              <w:rPr>
                <w:lang w:eastAsia="uk-UA"/>
              </w:rPr>
              <w:t>1. Досягнення цілей передбачених п.2 цього аналізу.</w:t>
            </w:r>
          </w:p>
          <w:p w:rsidR="00064455" w:rsidRPr="00F6315B" w:rsidRDefault="00064455" w:rsidP="009E1254">
            <w:pPr>
              <w:rPr>
                <w:lang w:eastAsia="uk-UA"/>
              </w:rPr>
            </w:pPr>
            <w:r w:rsidRPr="00F6315B">
              <w:rPr>
                <w:lang w:eastAsia="uk-UA"/>
              </w:rPr>
              <w:t xml:space="preserve">2. Виконання обов’язків, покладених на органи місцевого самоврядування </w:t>
            </w:r>
            <w:r w:rsidR="00D368BD" w:rsidRPr="00F6315B">
              <w:rPr>
                <w:lang w:eastAsia="uk-UA"/>
              </w:rPr>
              <w:t xml:space="preserve">у відповідності до законів України </w:t>
            </w:r>
            <w:r w:rsidR="00D368BD" w:rsidRPr="00F6315B">
              <w:t>«Про місцеве самоврядування в Україні», «Про телекомунікації», «Про телебачення і радіомовлення».</w:t>
            </w:r>
          </w:p>
          <w:p w:rsidR="00064455" w:rsidRPr="00F6315B" w:rsidRDefault="00064455" w:rsidP="009E1254">
            <w:pPr>
              <w:rPr>
                <w:lang w:eastAsia="uk-UA"/>
              </w:rPr>
            </w:pPr>
            <w:r w:rsidRPr="00F6315B">
              <w:rPr>
                <w:lang w:eastAsia="uk-UA"/>
              </w:rPr>
              <w:t xml:space="preserve">3. Виключення ситуацій, пов’язаних з можливими корупційними діями, неофіційними витратами </w:t>
            </w:r>
            <w:r w:rsidR="00D368BD" w:rsidRPr="00F6315B">
              <w:t>операторами телекомунікацій</w:t>
            </w:r>
            <w:r w:rsidRPr="00F6315B">
              <w:rPr>
                <w:lang w:eastAsia="uk-UA"/>
              </w:rPr>
              <w:t>.</w:t>
            </w:r>
          </w:p>
          <w:p w:rsidR="00064455" w:rsidRPr="00F6315B" w:rsidRDefault="00064455" w:rsidP="009E1254">
            <w:pPr>
              <w:rPr>
                <w:lang w:eastAsia="uk-UA"/>
              </w:rPr>
            </w:pPr>
            <w:r w:rsidRPr="00F6315B">
              <w:rPr>
                <w:lang w:eastAsia="uk-UA"/>
              </w:rPr>
              <w:t>4. Створення прозорої системи прийняття рішен</w:t>
            </w:r>
            <w:r w:rsidR="00D368BD" w:rsidRPr="00F6315B">
              <w:rPr>
                <w:lang w:eastAsia="uk-UA"/>
              </w:rPr>
              <w:t>ня</w:t>
            </w:r>
            <w:r w:rsidRPr="00F6315B">
              <w:rPr>
                <w:lang w:eastAsia="uk-UA"/>
              </w:rPr>
              <w:t xml:space="preserve"> виконавчого комітету Синельниківської міської ради. </w:t>
            </w:r>
          </w:p>
          <w:p w:rsidR="00064455" w:rsidRPr="00F6315B" w:rsidRDefault="00064455" w:rsidP="009E1254">
            <w:pPr>
              <w:jc w:val="both"/>
              <w:rPr>
                <w:lang w:eastAsia="uk-UA"/>
              </w:rPr>
            </w:pPr>
            <w:r w:rsidRPr="00F6315B">
              <w:rPr>
                <w:lang w:eastAsia="uk-UA"/>
              </w:rPr>
              <w:t>5. Додаткове забезпечення можливості оскарження незаконний дій з боку осіб, уповноважених на вчинення відповідних власних повноважень.</w:t>
            </w:r>
          </w:p>
        </w:tc>
        <w:tc>
          <w:tcPr>
            <w:tcW w:w="0" w:type="auto"/>
            <w:tcBorders>
              <w:top w:val="nil"/>
              <w:left w:val="nil"/>
              <w:bottom w:val="single" w:sz="8" w:space="0" w:color="auto"/>
              <w:right w:val="single" w:sz="8" w:space="0" w:color="auto"/>
            </w:tcBorders>
          </w:tcPr>
          <w:p w:rsidR="00064455" w:rsidRPr="00F6315B" w:rsidRDefault="00064455" w:rsidP="009E1254">
            <w:pPr>
              <w:rPr>
                <w:lang w:eastAsia="uk-UA"/>
              </w:rPr>
            </w:pPr>
            <w:r w:rsidRPr="00F6315B">
              <w:rPr>
                <w:lang w:eastAsia="uk-UA"/>
              </w:rPr>
              <w:t>1. Витрати, пов’язані з прийняттям регуляторного акту (рішення).</w:t>
            </w:r>
          </w:p>
          <w:p w:rsidR="00064455" w:rsidRPr="00F6315B" w:rsidRDefault="00064455" w:rsidP="009E1254">
            <w:pPr>
              <w:jc w:val="both"/>
              <w:rPr>
                <w:lang w:eastAsia="uk-UA"/>
              </w:rPr>
            </w:pPr>
            <w:r w:rsidRPr="00F6315B">
              <w:rPr>
                <w:lang w:eastAsia="uk-UA"/>
              </w:rPr>
              <w:t>2. Витрати, пов’язані з впровадженням та контролем за дотриманням вимог регуляторного акту.</w:t>
            </w:r>
          </w:p>
        </w:tc>
      </w:tr>
    </w:tbl>
    <w:p w:rsidR="0041382C" w:rsidRPr="00F6315B" w:rsidRDefault="0041382C" w:rsidP="00D368BD">
      <w:pPr>
        <w:jc w:val="both"/>
        <w:rPr>
          <w:b/>
          <w:bCs/>
          <w:lang w:eastAsia="uk-UA"/>
        </w:rPr>
      </w:pPr>
    </w:p>
    <w:p w:rsidR="00D368BD" w:rsidRPr="00F6315B" w:rsidRDefault="00D368BD" w:rsidP="00D368BD">
      <w:pPr>
        <w:jc w:val="both"/>
        <w:rPr>
          <w:lang w:eastAsia="uk-UA"/>
        </w:rPr>
      </w:pPr>
      <w:r w:rsidRPr="00F6315B">
        <w:rPr>
          <w:b/>
          <w:bCs/>
          <w:lang w:eastAsia="uk-UA"/>
        </w:rPr>
        <w:t>7. Обґрунтування строку дії рішення</w:t>
      </w:r>
    </w:p>
    <w:p w:rsidR="00D368BD" w:rsidRPr="00F6315B" w:rsidRDefault="00D368BD" w:rsidP="00D368BD">
      <w:pPr>
        <w:ind w:firstLine="708"/>
        <w:jc w:val="both"/>
      </w:pPr>
      <w:r w:rsidRPr="00F6315B">
        <w:t>Термін дії запропонованого регуляторного акта необмежений за умови відсутності внесення принципових змін у нормативно-правові акти, якими регулюється порядок надання телекомунікаційних послуг.</w:t>
      </w:r>
    </w:p>
    <w:p w:rsidR="00D368BD" w:rsidRPr="00F6315B" w:rsidRDefault="00D368BD" w:rsidP="00D368BD">
      <w:pPr>
        <w:ind w:firstLine="708"/>
        <w:jc w:val="both"/>
      </w:pPr>
      <w:r w:rsidRPr="00F6315B">
        <w:t>За підсумками аналізу його результативності, а також у разі потреби, до нього будуть вноситись відповідні зміни.</w:t>
      </w:r>
    </w:p>
    <w:p w:rsidR="00D368BD" w:rsidRPr="00F6315B" w:rsidRDefault="00D368BD" w:rsidP="00D368BD">
      <w:pPr>
        <w:jc w:val="both"/>
        <w:rPr>
          <w:lang w:eastAsia="uk-UA"/>
        </w:rPr>
      </w:pPr>
    </w:p>
    <w:p w:rsidR="00FA7A17" w:rsidRPr="00F6315B" w:rsidRDefault="00D368BD" w:rsidP="00D368BD">
      <w:pPr>
        <w:jc w:val="both"/>
        <w:rPr>
          <w:b/>
          <w:bCs/>
          <w:lang w:eastAsia="uk-UA"/>
        </w:rPr>
      </w:pPr>
      <w:r w:rsidRPr="00F6315B">
        <w:rPr>
          <w:b/>
          <w:bCs/>
          <w:lang w:eastAsia="uk-UA"/>
        </w:rPr>
        <w:t>8. Визначення показників результативності рішення</w:t>
      </w:r>
    </w:p>
    <w:p w:rsidR="00D368BD" w:rsidRPr="00F6315B" w:rsidRDefault="00D368BD" w:rsidP="00D368BD">
      <w:pPr>
        <w:ind w:firstLine="708"/>
        <w:jc w:val="both"/>
        <w:rPr>
          <w:lang w:eastAsia="uk-UA"/>
        </w:rPr>
      </w:pPr>
      <w:r w:rsidRPr="00F6315B">
        <w:rPr>
          <w:lang w:eastAsia="uk-UA"/>
        </w:rPr>
        <w:t>Прогнозні показники результативності дії рішення міської ради:</w:t>
      </w:r>
    </w:p>
    <w:p w:rsidR="00C34B1D" w:rsidRDefault="00D368BD" w:rsidP="00D368BD">
      <w:pPr>
        <w:ind w:firstLine="720"/>
        <w:jc w:val="both"/>
        <w:rPr>
          <w:rStyle w:val="a4"/>
          <w:b w:val="0"/>
        </w:rPr>
      </w:pPr>
      <w:r w:rsidRPr="00F6315B">
        <w:rPr>
          <w:lang w:eastAsia="uk-UA"/>
        </w:rPr>
        <w:t xml:space="preserve">1) розміри надходжень </w:t>
      </w:r>
      <w:r w:rsidR="00FA7A17" w:rsidRPr="00F6315B">
        <w:rPr>
          <w:lang w:eastAsia="uk-UA"/>
        </w:rPr>
        <w:t xml:space="preserve">балансоутримувачам </w:t>
      </w:r>
      <w:r w:rsidRPr="00F6315B">
        <w:rPr>
          <w:lang w:eastAsia="uk-UA"/>
        </w:rPr>
        <w:t>від</w:t>
      </w:r>
      <w:r w:rsidR="00FA7A17" w:rsidRPr="00F6315B">
        <w:rPr>
          <w:lang w:eastAsia="uk-UA"/>
        </w:rPr>
        <w:t xml:space="preserve"> </w:t>
      </w:r>
      <w:r w:rsidR="00FA7A17" w:rsidRPr="00F6315B">
        <w:rPr>
          <w:rStyle w:val="a4"/>
          <w:b w:val="0"/>
        </w:rPr>
        <w:t xml:space="preserve">розміщення телекомунікаційних мереж, мереж зв'язку, іншого слабкострумового обладнання в житлових будинках та  інших </w:t>
      </w:r>
    </w:p>
    <w:p w:rsidR="00D368BD" w:rsidRPr="00F6315B" w:rsidRDefault="00FA7A17" w:rsidP="00D368BD">
      <w:pPr>
        <w:ind w:firstLine="720"/>
        <w:jc w:val="both"/>
        <w:rPr>
          <w:lang w:eastAsia="uk-UA"/>
        </w:rPr>
      </w:pPr>
      <w:r w:rsidRPr="00F6315B">
        <w:rPr>
          <w:rStyle w:val="a4"/>
          <w:b w:val="0"/>
        </w:rPr>
        <w:t>об’єктах комунальної власності територіальної громади міста Синельникового</w:t>
      </w:r>
      <w:r w:rsidR="00D368BD" w:rsidRPr="00F6315B">
        <w:rPr>
          <w:lang w:eastAsia="uk-UA"/>
        </w:rPr>
        <w:t xml:space="preserve"> не можуть бути прогнозованими, оскільки залежать від великої кількості факторів: кон'юнктури ринку, складу учасників, пори року тощо;</w:t>
      </w:r>
    </w:p>
    <w:p w:rsidR="00D368BD" w:rsidRPr="00F6315B" w:rsidRDefault="00D368BD" w:rsidP="00D368BD">
      <w:pPr>
        <w:ind w:firstLine="720"/>
        <w:jc w:val="both"/>
        <w:rPr>
          <w:lang w:eastAsia="uk-UA"/>
        </w:rPr>
      </w:pPr>
      <w:r w:rsidRPr="00F6315B">
        <w:rPr>
          <w:lang w:eastAsia="uk-UA"/>
        </w:rPr>
        <w:t>2) дія рішення поширюється на невизначене коло суб'єктів господарювання та/або фізичних осіб, територія дії акта - місто Синельникове;</w:t>
      </w:r>
    </w:p>
    <w:p w:rsidR="00D368BD" w:rsidRPr="00F6315B" w:rsidRDefault="00D368BD" w:rsidP="00D368BD">
      <w:pPr>
        <w:ind w:firstLine="720"/>
        <w:jc w:val="both"/>
        <w:rPr>
          <w:lang w:eastAsia="uk-UA"/>
        </w:rPr>
      </w:pPr>
      <w:r w:rsidRPr="00F6315B">
        <w:rPr>
          <w:lang w:eastAsia="uk-UA"/>
        </w:rPr>
        <w:lastRenderedPageBreak/>
        <w:t>3) розмір коштів та час, що витрачатимуться суб'єктами господарювання та/або фізичними особами, пов'язаних з виконанням вимог акта залежать від конкретної ситу</w:t>
      </w:r>
      <w:r w:rsidR="00FA7A17" w:rsidRPr="00F6315B">
        <w:rPr>
          <w:lang w:eastAsia="uk-UA"/>
        </w:rPr>
        <w:t>ації: місця, строку</w:t>
      </w:r>
      <w:r w:rsidRPr="00F6315B">
        <w:rPr>
          <w:lang w:eastAsia="uk-UA"/>
        </w:rPr>
        <w:t>, вартості послуг з оформлення дозволу на розміщення</w:t>
      </w:r>
      <w:r w:rsidR="00FA7A17" w:rsidRPr="00F6315B">
        <w:rPr>
          <w:rStyle w:val="a4"/>
          <w:b w:val="0"/>
        </w:rPr>
        <w:t xml:space="preserve"> телекомунікацій</w:t>
      </w:r>
      <w:r w:rsidR="00FA7A17" w:rsidRPr="00F6315B">
        <w:rPr>
          <w:lang w:eastAsia="uk-UA"/>
        </w:rPr>
        <w:t xml:space="preserve"> </w:t>
      </w:r>
      <w:r w:rsidRPr="00F6315B">
        <w:rPr>
          <w:lang w:eastAsia="uk-UA"/>
        </w:rPr>
        <w:t xml:space="preserve">та інших показників, кількості осіб, з якими повинен бути погоджений дозвіл на розміщення </w:t>
      </w:r>
      <w:r w:rsidR="00FA7A17" w:rsidRPr="00F6315B">
        <w:rPr>
          <w:rStyle w:val="a4"/>
          <w:b w:val="0"/>
        </w:rPr>
        <w:t xml:space="preserve">телекомунікаційних мереж, мереж зв'язку, іншого слабкострумового обладнання в житлових будинках та  інших об’єктах комунальної власності територіальної громади міста, </w:t>
      </w:r>
      <w:r w:rsidRPr="00F6315B">
        <w:rPr>
          <w:lang w:eastAsia="uk-UA"/>
        </w:rPr>
        <w:t>тощо;</w:t>
      </w:r>
    </w:p>
    <w:p w:rsidR="00D368BD" w:rsidRPr="00F6315B" w:rsidRDefault="00D368BD" w:rsidP="00D368BD">
      <w:pPr>
        <w:ind w:firstLine="720"/>
        <w:jc w:val="both"/>
        <w:rPr>
          <w:lang w:eastAsia="uk-UA"/>
        </w:rPr>
      </w:pPr>
      <w:r w:rsidRPr="00F6315B">
        <w:rPr>
          <w:lang w:eastAsia="uk-UA"/>
        </w:rPr>
        <w:t>4) у відповідності з частиною 5 статті 12 Закону України  від 11 вересня 2003 року                №1160-IV «Про засади державної регуляторної політики у сфері господарської діяльності» рівень поінформованості суб'єктів господарювання та/або фізичних осіб з основних положень рішення визначається кількістю осіб, що:</w:t>
      </w:r>
    </w:p>
    <w:p w:rsidR="00D368BD" w:rsidRPr="00F6315B" w:rsidRDefault="00D368BD" w:rsidP="00D368BD">
      <w:pPr>
        <w:ind w:firstLine="720"/>
        <w:jc w:val="both"/>
        <w:rPr>
          <w:lang w:eastAsia="uk-UA"/>
        </w:rPr>
      </w:pPr>
      <w:r w:rsidRPr="00F6315B">
        <w:rPr>
          <w:lang w:eastAsia="uk-UA"/>
        </w:rPr>
        <w:t xml:space="preserve">а) прочитають зазначене рішення в офіційних засобах масової інформації; </w:t>
      </w:r>
    </w:p>
    <w:p w:rsidR="00D368BD" w:rsidRPr="00F6315B" w:rsidRDefault="00D368BD" w:rsidP="00D368BD">
      <w:pPr>
        <w:ind w:firstLine="720"/>
        <w:jc w:val="both"/>
        <w:rPr>
          <w:lang w:eastAsia="uk-UA"/>
        </w:rPr>
      </w:pPr>
      <w:r w:rsidRPr="00F6315B">
        <w:rPr>
          <w:lang w:eastAsia="uk-UA"/>
        </w:rPr>
        <w:t>б) отримають регуляторний акт за запитами до органів місцевого самоврядування;</w:t>
      </w:r>
    </w:p>
    <w:p w:rsidR="00D368BD" w:rsidRPr="00F6315B" w:rsidRDefault="00D368BD" w:rsidP="00D368BD">
      <w:pPr>
        <w:ind w:firstLine="720"/>
        <w:jc w:val="both"/>
        <w:rPr>
          <w:lang w:eastAsia="uk-UA"/>
        </w:rPr>
      </w:pPr>
      <w:r w:rsidRPr="00F6315B">
        <w:rPr>
          <w:lang w:eastAsia="uk-UA"/>
        </w:rPr>
        <w:t>в) отримають регуляторний акт або інформацію щодо основних його положень іншими шляхами.</w:t>
      </w:r>
    </w:p>
    <w:p w:rsidR="00D368BD" w:rsidRPr="00F6315B" w:rsidRDefault="00D368BD" w:rsidP="00D368BD">
      <w:pPr>
        <w:ind w:firstLine="540"/>
        <w:jc w:val="both"/>
        <w:rPr>
          <w:lang w:eastAsia="uk-UA"/>
        </w:rPr>
      </w:pPr>
    </w:p>
    <w:p w:rsidR="00D368BD" w:rsidRPr="00F6315B" w:rsidRDefault="00D368BD" w:rsidP="00D368BD">
      <w:pPr>
        <w:jc w:val="both"/>
        <w:rPr>
          <w:lang w:eastAsia="uk-UA"/>
        </w:rPr>
      </w:pPr>
      <w:r w:rsidRPr="00F6315B">
        <w:rPr>
          <w:b/>
          <w:bCs/>
          <w:lang w:eastAsia="uk-UA"/>
        </w:rPr>
        <w:t>9. Визначення заходів відстеження результативності рішення</w:t>
      </w:r>
    </w:p>
    <w:p w:rsidR="00D368BD" w:rsidRPr="00F6315B" w:rsidRDefault="00D368BD" w:rsidP="00D368BD">
      <w:pPr>
        <w:ind w:firstLine="708"/>
        <w:jc w:val="both"/>
        <w:rPr>
          <w:lang w:eastAsia="uk-UA"/>
        </w:rPr>
      </w:pPr>
      <w:r w:rsidRPr="00F6315B">
        <w:rPr>
          <w:lang w:eastAsia="uk-UA"/>
        </w:rPr>
        <w:t>Після 12 місяців після прийняття рішення міської ради здійснюється базове відстеження результативності дії акта. За результатами зазначеного строку встановлюється повнота та ефективність введення в дію регуляторного акта.</w:t>
      </w:r>
    </w:p>
    <w:p w:rsidR="00D368BD" w:rsidRPr="00F6315B" w:rsidRDefault="00D368BD" w:rsidP="00D368BD">
      <w:pPr>
        <w:ind w:firstLine="708"/>
        <w:jc w:val="both"/>
        <w:rPr>
          <w:lang w:eastAsia="uk-UA"/>
        </w:rPr>
      </w:pPr>
      <w:r w:rsidRPr="00F6315B">
        <w:rPr>
          <w:lang w:eastAsia="uk-UA"/>
        </w:rPr>
        <w:t>Не пізніше, як через два роки з дня прийняття регуляторного акта здійснюється повторне відстеження результативності його дії.</w:t>
      </w:r>
    </w:p>
    <w:p w:rsidR="00D368BD" w:rsidRPr="00F6315B" w:rsidRDefault="00D368BD" w:rsidP="00D368BD">
      <w:pPr>
        <w:ind w:firstLine="708"/>
        <w:jc w:val="both"/>
        <w:rPr>
          <w:lang w:eastAsia="uk-UA"/>
        </w:rPr>
      </w:pPr>
      <w:r w:rsidRPr="00F6315B">
        <w:rPr>
          <w:lang w:eastAsia="uk-UA"/>
        </w:rPr>
        <w:t>Відстеження результативності дії акта здійснюється управлінням житлово-комунального господарства та комунальної власності міської ради з використанням статистичних даних.</w:t>
      </w:r>
    </w:p>
    <w:p w:rsidR="00D368BD" w:rsidRPr="00F6315B" w:rsidRDefault="00D368BD" w:rsidP="00D368BD">
      <w:pPr>
        <w:jc w:val="both"/>
        <w:rPr>
          <w:lang w:eastAsia="uk-UA"/>
        </w:rPr>
      </w:pPr>
    </w:p>
    <w:p w:rsidR="00D368BD" w:rsidRPr="00F6315B" w:rsidRDefault="00D368BD" w:rsidP="00D368BD">
      <w:pPr>
        <w:rPr>
          <w:lang w:eastAsia="uk-UA"/>
        </w:rPr>
      </w:pPr>
    </w:p>
    <w:p w:rsidR="004D4F09" w:rsidRPr="00F6315B" w:rsidRDefault="00D368BD" w:rsidP="00D368BD">
      <w:pPr>
        <w:rPr>
          <w:lang w:eastAsia="uk-UA"/>
        </w:rPr>
      </w:pPr>
      <w:r w:rsidRPr="00F6315B">
        <w:rPr>
          <w:lang w:eastAsia="uk-UA"/>
        </w:rPr>
        <w:t xml:space="preserve">Начальник  управління </w:t>
      </w:r>
    </w:p>
    <w:p w:rsidR="0041382C" w:rsidRPr="00F6315B" w:rsidRDefault="00D368BD" w:rsidP="00D368BD">
      <w:pPr>
        <w:rPr>
          <w:lang w:eastAsia="uk-UA"/>
        </w:rPr>
      </w:pPr>
      <w:r w:rsidRPr="00F6315B">
        <w:rPr>
          <w:lang w:eastAsia="uk-UA"/>
        </w:rPr>
        <w:t xml:space="preserve">житлово – комунального господарства </w:t>
      </w:r>
    </w:p>
    <w:p w:rsidR="006F06B7" w:rsidRPr="00F6315B" w:rsidRDefault="00D368BD">
      <w:pPr>
        <w:rPr>
          <w:color w:val="00B050"/>
        </w:rPr>
      </w:pPr>
      <w:r w:rsidRPr="00F6315B">
        <w:rPr>
          <w:lang w:eastAsia="uk-UA"/>
        </w:rPr>
        <w:t xml:space="preserve">та комунальної власності міської ради       </w:t>
      </w:r>
      <w:r w:rsidR="0041382C" w:rsidRPr="00F6315B">
        <w:rPr>
          <w:lang w:eastAsia="uk-UA"/>
        </w:rPr>
        <w:t xml:space="preserve"> </w:t>
      </w:r>
      <w:r w:rsidRPr="00F6315B">
        <w:rPr>
          <w:lang w:eastAsia="uk-UA"/>
        </w:rPr>
        <w:t xml:space="preserve">  </w:t>
      </w:r>
      <w:r w:rsidR="0041382C" w:rsidRPr="00F6315B">
        <w:rPr>
          <w:lang w:eastAsia="uk-UA"/>
        </w:rPr>
        <w:t xml:space="preserve">      </w:t>
      </w:r>
      <w:r w:rsidRPr="00F6315B">
        <w:rPr>
          <w:lang w:eastAsia="uk-UA"/>
        </w:rPr>
        <w:t xml:space="preserve">                     </w:t>
      </w:r>
      <w:r w:rsidR="00F6315B">
        <w:rPr>
          <w:lang w:eastAsia="uk-UA"/>
        </w:rPr>
        <w:t xml:space="preserve">               </w:t>
      </w:r>
      <w:r w:rsidRPr="00F6315B">
        <w:rPr>
          <w:lang w:eastAsia="uk-UA"/>
        </w:rPr>
        <w:t xml:space="preserve"> </w:t>
      </w:r>
      <w:r w:rsidR="00AE51DD">
        <w:rPr>
          <w:lang w:eastAsia="uk-UA"/>
        </w:rPr>
        <w:t>А.А. РОМАНОВСЬКИХ</w:t>
      </w:r>
    </w:p>
    <w:sectPr w:rsidR="006F06B7" w:rsidRPr="00F6315B" w:rsidSect="004B77F9">
      <w:pgSz w:w="11906" w:h="16838"/>
      <w:pgMar w:top="567"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74C3"/>
    <w:multiLevelType w:val="hybridMultilevel"/>
    <w:tmpl w:val="78CCCFEA"/>
    <w:lvl w:ilvl="0" w:tplc="2D580B8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0879AB"/>
    <w:multiLevelType w:val="hybridMultilevel"/>
    <w:tmpl w:val="5548057E"/>
    <w:lvl w:ilvl="0" w:tplc="1DCC5BAC">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5D77F3A"/>
    <w:multiLevelType w:val="hybridMultilevel"/>
    <w:tmpl w:val="9D20740C"/>
    <w:lvl w:ilvl="0" w:tplc="8CF07DEE">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2103"/>
    <w:rsid w:val="00063F64"/>
    <w:rsid w:val="00064455"/>
    <w:rsid w:val="000B16DD"/>
    <w:rsid w:val="00142103"/>
    <w:rsid w:val="00194B67"/>
    <w:rsid w:val="001A4415"/>
    <w:rsid w:val="001B3EA2"/>
    <w:rsid w:val="001E21FF"/>
    <w:rsid w:val="0020466B"/>
    <w:rsid w:val="00206ECD"/>
    <w:rsid w:val="00233AD8"/>
    <w:rsid w:val="00255203"/>
    <w:rsid w:val="002668D5"/>
    <w:rsid w:val="00267918"/>
    <w:rsid w:val="00282393"/>
    <w:rsid w:val="00297091"/>
    <w:rsid w:val="002C1ED4"/>
    <w:rsid w:val="002C3F9E"/>
    <w:rsid w:val="002E16A8"/>
    <w:rsid w:val="00372987"/>
    <w:rsid w:val="003B41FA"/>
    <w:rsid w:val="003C7D55"/>
    <w:rsid w:val="0041382C"/>
    <w:rsid w:val="00430135"/>
    <w:rsid w:val="0047024C"/>
    <w:rsid w:val="004B77F9"/>
    <w:rsid w:val="004D4F09"/>
    <w:rsid w:val="00530EB4"/>
    <w:rsid w:val="00572925"/>
    <w:rsid w:val="006704C7"/>
    <w:rsid w:val="006D2685"/>
    <w:rsid w:val="006E78FF"/>
    <w:rsid w:val="006F06B7"/>
    <w:rsid w:val="00726D55"/>
    <w:rsid w:val="0073742F"/>
    <w:rsid w:val="00764137"/>
    <w:rsid w:val="007C405F"/>
    <w:rsid w:val="0080738F"/>
    <w:rsid w:val="008338F1"/>
    <w:rsid w:val="00835FBC"/>
    <w:rsid w:val="00837A45"/>
    <w:rsid w:val="008D10AC"/>
    <w:rsid w:val="008D18CD"/>
    <w:rsid w:val="008D2113"/>
    <w:rsid w:val="00902D1D"/>
    <w:rsid w:val="00A2125E"/>
    <w:rsid w:val="00A41407"/>
    <w:rsid w:val="00A80E9E"/>
    <w:rsid w:val="00A91D99"/>
    <w:rsid w:val="00A9657A"/>
    <w:rsid w:val="00AA1BA1"/>
    <w:rsid w:val="00AE51DD"/>
    <w:rsid w:val="00AF1163"/>
    <w:rsid w:val="00B91422"/>
    <w:rsid w:val="00BA19D7"/>
    <w:rsid w:val="00BC5D7C"/>
    <w:rsid w:val="00BD0A47"/>
    <w:rsid w:val="00C34B1D"/>
    <w:rsid w:val="00CC0F12"/>
    <w:rsid w:val="00CD7560"/>
    <w:rsid w:val="00D368BD"/>
    <w:rsid w:val="00D53C8F"/>
    <w:rsid w:val="00D94134"/>
    <w:rsid w:val="00E77024"/>
    <w:rsid w:val="00EE3C89"/>
    <w:rsid w:val="00EF5C73"/>
    <w:rsid w:val="00F109F4"/>
    <w:rsid w:val="00F6315B"/>
    <w:rsid w:val="00F66501"/>
    <w:rsid w:val="00FA7A17"/>
    <w:rsid w:val="00FD1ED0"/>
    <w:rsid w:val="00FE222F"/>
    <w:rsid w:val="00FF4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03"/>
    <w:pPr>
      <w:autoSpaceDE w:val="0"/>
      <w:autoSpaceDN w:val="0"/>
    </w:pPr>
    <w:rPr>
      <w:rFonts w:eastAsia="Times New Roman"/>
      <w:sz w:val="24"/>
      <w:szCs w:val="24"/>
      <w:lang w:val="uk-UA" w:eastAsia="ru-RU"/>
    </w:rPr>
  </w:style>
  <w:style w:type="paragraph" w:styleId="2">
    <w:name w:val="heading 2"/>
    <w:basedOn w:val="a"/>
    <w:next w:val="a"/>
    <w:link w:val="20"/>
    <w:semiHidden/>
    <w:unhideWhenUsed/>
    <w:qFormat/>
    <w:rsid w:val="00142103"/>
    <w:pPr>
      <w:keepNext/>
      <w:tabs>
        <w:tab w:val="left" w:pos="3630"/>
      </w:tabs>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42103"/>
    <w:rPr>
      <w:rFonts w:eastAsia="Times New Roman"/>
      <w:b/>
      <w:bCs/>
      <w:sz w:val="20"/>
      <w:szCs w:val="20"/>
      <w:lang w:val="uk-UA" w:eastAsia="ru-RU"/>
    </w:rPr>
  </w:style>
  <w:style w:type="paragraph" w:styleId="a3">
    <w:name w:val="List Paragraph"/>
    <w:basedOn w:val="a"/>
    <w:uiPriority w:val="34"/>
    <w:qFormat/>
    <w:rsid w:val="00142103"/>
    <w:pPr>
      <w:ind w:left="720"/>
      <w:contextualSpacing/>
    </w:pPr>
  </w:style>
  <w:style w:type="character" w:styleId="a4">
    <w:name w:val="Strong"/>
    <w:basedOn w:val="a0"/>
    <w:qFormat/>
    <w:rsid w:val="00142103"/>
    <w:rPr>
      <w:b/>
      <w:bCs/>
    </w:rPr>
  </w:style>
  <w:style w:type="paragraph" w:styleId="a5">
    <w:name w:val="Body Text"/>
    <w:basedOn w:val="a"/>
    <w:link w:val="a6"/>
    <w:rsid w:val="00AF1163"/>
    <w:pPr>
      <w:autoSpaceDE/>
      <w:autoSpaceDN/>
      <w:ind w:right="-1"/>
      <w:jc w:val="both"/>
    </w:pPr>
    <w:rPr>
      <w:sz w:val="28"/>
      <w:szCs w:val="20"/>
    </w:rPr>
  </w:style>
  <w:style w:type="character" w:customStyle="1" w:styleId="a6">
    <w:name w:val="Основной текст Знак"/>
    <w:basedOn w:val="a0"/>
    <w:link w:val="a5"/>
    <w:rsid w:val="00AF1163"/>
    <w:rPr>
      <w:rFonts w:eastAsia="Times New Roman"/>
      <w:szCs w:val="20"/>
      <w:lang w:val="uk-UA" w:eastAsia="ru-RU"/>
    </w:rPr>
  </w:style>
</w:styles>
</file>

<file path=word/webSettings.xml><?xml version="1.0" encoding="utf-8"?>
<w:webSettings xmlns:r="http://schemas.openxmlformats.org/officeDocument/2006/relationships" xmlns:w="http://schemas.openxmlformats.org/wordprocessingml/2006/main">
  <w:divs>
    <w:div w:id="16332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B67D-D373-459F-80BB-D81FA9E7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2016-03-11T08:38:00Z</cp:lastPrinted>
  <dcterms:created xsi:type="dcterms:W3CDTF">2014-02-18T06:56:00Z</dcterms:created>
  <dcterms:modified xsi:type="dcterms:W3CDTF">2016-03-11T08:51:00Z</dcterms:modified>
</cp:coreProperties>
</file>