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36" w:rsidRPr="00257D81" w:rsidRDefault="00257D81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lang w:val="uk-UA"/>
        </w:rPr>
        <w:t>*</w:t>
      </w:r>
    </w:p>
    <w:p w:rsidR="00443636" w:rsidRPr="00443636" w:rsidRDefault="00443636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3636" w:rsidRPr="00443636" w:rsidRDefault="00443636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43636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43636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43636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43636" w:rsidRPr="00443636" w:rsidRDefault="00443636" w:rsidP="00443636">
      <w:pPr>
        <w:spacing w:after="0" w:line="240" w:lineRule="auto"/>
        <w:ind w:firstLine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43636" w:rsidRPr="00443636" w:rsidRDefault="00443636" w:rsidP="00443636">
      <w:pPr>
        <w:spacing w:after="0" w:line="240" w:lineRule="auto"/>
        <w:ind w:firstLine="0"/>
        <w:rPr>
          <w:rFonts w:ascii="Times New Roman" w:hAnsi="Times New Roman"/>
          <w:bCs/>
          <w:sz w:val="26"/>
          <w:szCs w:val="26"/>
          <w:lang w:val="uk-UA"/>
        </w:rPr>
      </w:pPr>
      <w:r w:rsidRPr="00443636">
        <w:rPr>
          <w:rFonts w:ascii="Times New Roman" w:hAnsi="Times New Roman"/>
          <w:bCs/>
          <w:sz w:val="26"/>
          <w:szCs w:val="26"/>
          <w:lang w:val="uk-UA"/>
        </w:rPr>
        <w:t>23 грудня 2020 року</w:t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</w:t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>м. Синельникове</w:t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</w:r>
      <w:r w:rsidRPr="00443636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424</w:t>
      </w:r>
    </w:p>
    <w:p w:rsidR="00443636" w:rsidRPr="00443636" w:rsidRDefault="00443636" w:rsidP="00443636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43636" w:rsidRPr="00443636" w:rsidRDefault="008024C0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24C0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8024C0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8024C0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8024C0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6019ED" w:rsidRPr="00443636" w:rsidRDefault="006019ED" w:rsidP="009E1039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3636">
        <w:rPr>
          <w:rFonts w:ascii="Times New Roman" w:hAnsi="Times New Roman"/>
          <w:b/>
          <w:i/>
          <w:sz w:val="28"/>
          <w:szCs w:val="28"/>
          <w:lang w:val="uk-UA"/>
        </w:rPr>
        <w:t>Про роботу архівного відділу</w:t>
      </w:r>
    </w:p>
    <w:p w:rsidR="006019ED" w:rsidRPr="00A8317A" w:rsidRDefault="006019ED" w:rsidP="009E1039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A">
        <w:rPr>
          <w:rFonts w:ascii="Times New Roman" w:hAnsi="Times New Roman"/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6019ED" w:rsidRPr="00A8317A" w:rsidRDefault="00443636" w:rsidP="009E1039">
      <w:pPr>
        <w:spacing w:after="0" w:line="240" w:lineRule="auto"/>
        <w:ind w:firstLine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 </w:t>
      </w:r>
      <w:r w:rsidR="006019ED">
        <w:rPr>
          <w:rFonts w:ascii="Times New Roman" w:hAnsi="Times New Roman"/>
          <w:b/>
          <w:i/>
          <w:sz w:val="28"/>
          <w:szCs w:val="28"/>
          <w:lang w:val="uk-UA"/>
        </w:rPr>
        <w:t>2020 рік</w:t>
      </w:r>
    </w:p>
    <w:p w:rsidR="006019ED" w:rsidRDefault="006019ED" w:rsidP="006019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19ED" w:rsidRDefault="00443636" w:rsidP="00B65E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r w:rsidR="006019ED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їні» «Про звернення громадян», </w:t>
      </w:r>
      <w:proofErr w:type="spellStart"/>
      <w:r w:rsidR="006019ED" w:rsidRPr="00162CBB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="006019ED" w:rsidRPr="00162CBB">
        <w:rPr>
          <w:rFonts w:ascii="Times New Roman" w:hAnsi="Times New Roman"/>
          <w:sz w:val="28"/>
          <w:szCs w:val="28"/>
          <w:lang w:val="uk-UA"/>
        </w:rPr>
        <w:t xml:space="preserve"> Національний архівний фонд та архівні установи”, </w:t>
      </w:r>
      <w:r w:rsidR="006019ED">
        <w:rPr>
          <w:rFonts w:ascii="Times New Roman" w:hAnsi="Times New Roman"/>
          <w:sz w:val="28"/>
          <w:szCs w:val="28"/>
          <w:lang w:val="uk-UA"/>
        </w:rPr>
        <w:t>Порядком виконання архівними установами запитів юридичних та фізичних осіб на підставі архівних документів та оформлення архівних довідок (копій, витягів), затвердженим наказом Міністерства юстиції України від 02 березня 2015 №295/5, Інструкцією</w:t>
      </w:r>
      <w:r w:rsidR="006019ED" w:rsidRPr="00EF51F3">
        <w:rPr>
          <w:rFonts w:ascii="Times New Roman" w:hAnsi="Times New Roman"/>
          <w:sz w:val="28"/>
          <w:szCs w:val="28"/>
          <w:lang w:val="uk-UA"/>
        </w:rPr>
        <w:t xml:space="preserve"> про порядок витребування документів соціально-правового характеру для громадян України, іноземців та осіб без громадянства</w:t>
      </w:r>
      <w:r w:rsidR="006019ED">
        <w:rPr>
          <w:rFonts w:ascii="Times New Roman" w:hAnsi="Times New Roman"/>
          <w:sz w:val="28"/>
          <w:szCs w:val="28"/>
          <w:lang w:val="uk-UA"/>
        </w:rPr>
        <w:t xml:space="preserve"> затвердженою Наказом Міністерства юстиції України та Міністерства закордонних справ України від 21 вересня 2015 року №1786/5/272, 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 червня 2015 року №1000/5, з метою забезпечення поповнення Національного архівного фонду документами, що мають місцеве значення, їх державної реєстрації, обліку, зберігання та використання їх інформації, з метою удосконалення роботи зі зверненнями громадян та поліпшення надання послуг мешканцям міста та юридичним ос</w:t>
      </w:r>
      <w:r>
        <w:rPr>
          <w:rFonts w:ascii="Times New Roman" w:hAnsi="Times New Roman"/>
          <w:sz w:val="28"/>
          <w:szCs w:val="28"/>
          <w:lang w:val="uk-UA"/>
        </w:rPr>
        <w:t xml:space="preserve">обам у галузі архівної справи, </w:t>
      </w:r>
      <w:r w:rsidR="006019ED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9ED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43636" w:rsidRDefault="00443636" w:rsidP="00B65E1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19ED" w:rsidRDefault="006019ED" w:rsidP="00B65E1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Звіт про підсумки роботи архівного відділу Синел</w:t>
      </w:r>
      <w:r w:rsidR="00143BB8">
        <w:rPr>
          <w:rFonts w:ascii="Times New Roman" w:hAnsi="Times New Roman"/>
          <w:sz w:val="28"/>
          <w:szCs w:val="28"/>
          <w:lang w:val="uk-UA"/>
        </w:rPr>
        <w:t>ьниківської міської ради за 2020</w:t>
      </w:r>
      <w:r>
        <w:rPr>
          <w:rFonts w:ascii="Times New Roman" w:hAnsi="Times New Roman"/>
          <w:sz w:val="28"/>
          <w:szCs w:val="28"/>
          <w:lang w:val="uk-UA"/>
        </w:rPr>
        <w:t xml:space="preserve"> рік прийняти до відома.</w:t>
      </w:r>
    </w:p>
    <w:p w:rsidR="006019ED" w:rsidRDefault="00443636" w:rsidP="00B65E1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6019ED" w:rsidRPr="00162CBB">
        <w:rPr>
          <w:rFonts w:ascii="Times New Roman" w:hAnsi="Times New Roman"/>
          <w:sz w:val="28"/>
          <w:szCs w:val="28"/>
          <w:lang w:val="uk-UA"/>
        </w:rPr>
        <w:t xml:space="preserve">Начальнику архівного відділу </w:t>
      </w:r>
      <w:r w:rsidR="006019ED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19ED">
        <w:rPr>
          <w:rFonts w:ascii="Times New Roman" w:hAnsi="Times New Roman"/>
          <w:sz w:val="28"/>
          <w:szCs w:val="28"/>
          <w:lang w:val="uk-UA"/>
        </w:rPr>
        <w:t>Ішутіновій</w:t>
      </w:r>
      <w:proofErr w:type="spellEnd"/>
      <w:r w:rsidR="006019ED">
        <w:rPr>
          <w:rFonts w:ascii="Times New Roman" w:hAnsi="Times New Roman"/>
          <w:sz w:val="28"/>
          <w:szCs w:val="28"/>
          <w:lang w:val="uk-UA"/>
        </w:rPr>
        <w:t xml:space="preserve"> А.О</w:t>
      </w:r>
      <w:r w:rsidR="006019ED" w:rsidRPr="00162CBB">
        <w:rPr>
          <w:rFonts w:ascii="Times New Roman" w:hAnsi="Times New Roman"/>
          <w:sz w:val="28"/>
          <w:szCs w:val="28"/>
          <w:lang w:val="uk-UA"/>
        </w:rPr>
        <w:t>.:</w:t>
      </w:r>
    </w:p>
    <w:p w:rsidR="006019ED" w:rsidRDefault="00443636" w:rsidP="00B65E1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="006019E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6019ED">
        <w:rPr>
          <w:rFonts w:ascii="Times New Roman" w:hAnsi="Times New Roman"/>
          <w:sz w:val="28"/>
          <w:szCs w:val="28"/>
        </w:rPr>
        <w:t>осилити</w:t>
      </w:r>
      <w:proofErr w:type="spellEnd"/>
      <w:r w:rsidR="006019ED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="006019ED">
        <w:rPr>
          <w:rFonts w:ascii="Times New Roman" w:hAnsi="Times New Roman"/>
          <w:sz w:val="28"/>
          <w:szCs w:val="28"/>
        </w:rPr>
        <w:t>за</w:t>
      </w:r>
      <w:r w:rsidR="006019ED" w:rsidRPr="00902D29">
        <w:rPr>
          <w:rFonts w:ascii="Times New Roman" w:hAnsi="Times New Roman"/>
          <w:sz w:val="28"/>
          <w:szCs w:val="28"/>
        </w:rPr>
        <w:t>виконаннямвимог</w:t>
      </w:r>
      <w:proofErr w:type="spellEnd"/>
      <w:r w:rsidR="006019ED" w:rsidRPr="00902D29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6019ED" w:rsidRPr="00902D29">
        <w:rPr>
          <w:rFonts w:ascii="Times New Roman" w:hAnsi="Times New Roman"/>
          <w:sz w:val="28"/>
          <w:szCs w:val="28"/>
        </w:rPr>
        <w:t>України</w:t>
      </w:r>
      <w:proofErr w:type="spellEnd"/>
      <w:r w:rsidR="006019ED" w:rsidRPr="00902D29">
        <w:rPr>
          <w:rFonts w:ascii="Times New Roman" w:hAnsi="Times New Roman"/>
          <w:sz w:val="28"/>
          <w:szCs w:val="28"/>
        </w:rPr>
        <w:t xml:space="preserve"> </w:t>
      </w:r>
      <w:r w:rsidR="00A908BD">
        <w:rPr>
          <w:rFonts w:ascii="Times New Roman" w:hAnsi="Times New Roman"/>
          <w:sz w:val="28"/>
          <w:szCs w:val="28"/>
          <w:lang w:val="uk-UA"/>
        </w:rPr>
        <w:t>«</w:t>
      </w:r>
      <w:r w:rsidR="006019ED" w:rsidRPr="00902D2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6019ED" w:rsidRPr="00902D29">
        <w:rPr>
          <w:rFonts w:ascii="Times New Roman" w:hAnsi="Times New Roman"/>
          <w:sz w:val="28"/>
          <w:szCs w:val="28"/>
        </w:rPr>
        <w:t>Національнийархівний</w:t>
      </w:r>
      <w:proofErr w:type="spellEnd"/>
      <w:r w:rsidR="006019ED" w:rsidRPr="00902D29">
        <w:rPr>
          <w:rFonts w:ascii="Times New Roman" w:hAnsi="Times New Roman"/>
          <w:sz w:val="28"/>
          <w:szCs w:val="28"/>
        </w:rPr>
        <w:t xml:space="preserve"> фонд та </w:t>
      </w:r>
      <w:proofErr w:type="spellStart"/>
      <w:r w:rsidR="006019ED" w:rsidRPr="00902D29">
        <w:rPr>
          <w:rFonts w:ascii="Times New Roman" w:hAnsi="Times New Roman"/>
          <w:sz w:val="28"/>
          <w:szCs w:val="28"/>
        </w:rPr>
        <w:t>архівні</w:t>
      </w:r>
      <w:proofErr w:type="spellEnd"/>
      <w:r w:rsidR="006019ED" w:rsidRPr="00902D29">
        <w:rPr>
          <w:rFonts w:ascii="Times New Roman" w:hAnsi="Times New Roman"/>
          <w:sz w:val="28"/>
          <w:szCs w:val="28"/>
        </w:rPr>
        <w:t xml:space="preserve"> установи</w:t>
      </w:r>
      <w:r w:rsidR="00A908BD">
        <w:rPr>
          <w:rFonts w:ascii="Times New Roman" w:hAnsi="Times New Roman"/>
          <w:sz w:val="28"/>
          <w:szCs w:val="28"/>
          <w:lang w:val="uk-UA"/>
        </w:rPr>
        <w:t>»</w:t>
      </w:r>
      <w:r w:rsidR="006019ED" w:rsidRPr="00902D29">
        <w:rPr>
          <w:rFonts w:ascii="Times New Roman" w:hAnsi="Times New Roman"/>
          <w:sz w:val="28"/>
          <w:szCs w:val="28"/>
        </w:rPr>
        <w:t>;</w:t>
      </w:r>
    </w:p>
    <w:p w:rsidR="006019ED" w:rsidRDefault="00443636" w:rsidP="00B65E1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 Дотримуватись </w:t>
      </w:r>
      <w:r w:rsidR="006019ED">
        <w:rPr>
          <w:rFonts w:ascii="Times New Roman" w:hAnsi="Times New Roman"/>
          <w:sz w:val="28"/>
          <w:szCs w:val="28"/>
          <w:lang w:val="uk-UA"/>
        </w:rPr>
        <w:t>нормативних вимог до організації своєчасного обліку документів, що надходять на зберігання до архівного відділу, звіряння й уточнення облікових даних</w:t>
      </w:r>
      <w:r w:rsidR="006019ED" w:rsidRPr="00902D29">
        <w:rPr>
          <w:rFonts w:ascii="Times New Roman" w:hAnsi="Times New Roman"/>
          <w:sz w:val="28"/>
          <w:szCs w:val="28"/>
          <w:lang w:val="uk-UA"/>
        </w:rPr>
        <w:t>;</w:t>
      </w:r>
    </w:p>
    <w:p w:rsidR="006019ED" w:rsidRDefault="006019ED" w:rsidP="00B65E1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 Керівникам структурних підрозділів міської ради та комунальних підприємств: </w:t>
      </w:r>
    </w:p>
    <w:p w:rsidR="00B65E15" w:rsidRDefault="006019ED" w:rsidP="00B65E1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 При підготовці номенклатури справ, описів справ постійного (довготривалого) терміну зберігання та описів справ з кадрових питань (особового складу), актів про вилучення для знищення документів, не внесених до Національного архівного фонду керуватися Правилами організації діловодства та архівного</w:t>
      </w:r>
      <w:r w:rsidR="004436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 червня 2015 року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№1000/5і</w:t>
      </w:r>
      <w:r w:rsidRPr="008441E9">
        <w:rPr>
          <w:rFonts w:ascii="Times New Roman" w:hAnsi="Times New Roman"/>
          <w:sz w:val="28"/>
          <w:szCs w:val="28"/>
          <w:lang w:val="uk-UA"/>
        </w:rPr>
        <w:t>з змінами і доповненнями, внесениминаказом Міністерства юстиції Українивід</w:t>
      </w:r>
      <w:r>
        <w:rPr>
          <w:rFonts w:ascii="Times New Roman" w:hAnsi="Times New Roman"/>
          <w:sz w:val="28"/>
          <w:szCs w:val="28"/>
          <w:lang w:val="uk-UA"/>
        </w:rPr>
        <w:t xml:space="preserve"> 12 червня 2018 року №1827/5 та </w:t>
      </w:r>
      <w:r w:rsidR="00B65E15">
        <w:rPr>
          <w:rFonts w:ascii="Times New Roman" w:hAnsi="Times New Roman"/>
          <w:sz w:val="28"/>
          <w:szCs w:val="28"/>
          <w:lang w:val="uk-UA"/>
        </w:rPr>
        <w:t>від 04 липня 2018 року №2277/5</w:t>
      </w:r>
      <w:r w:rsidR="004436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19ED" w:rsidRPr="00F33A06" w:rsidRDefault="00443636" w:rsidP="00B65E1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3.2. </w:t>
      </w:r>
      <w:r w:rsidR="006019ED">
        <w:rPr>
          <w:rFonts w:ascii="Times New Roman" w:hAnsi="Times New Roman"/>
          <w:sz w:val="28"/>
          <w:szCs w:val="28"/>
          <w:lang w:val="uk-UA"/>
        </w:rPr>
        <w:t xml:space="preserve">Для організації і проведення експертизи цінності документів, що утворилися в діловодстві установи, та подання результатів експертизи цінності документів на розгляд експертної комісії архівного відділу створити (оновити) склад та Положення про експерту комісію установи відповідно до </w:t>
      </w:r>
      <w:r w:rsidR="006019ED" w:rsidRPr="008441E9">
        <w:rPr>
          <w:rFonts w:ascii="Times New Roman" w:hAnsi="Times New Roman"/>
          <w:sz w:val="28"/>
          <w:szCs w:val="28"/>
          <w:lang w:val="uk-UA"/>
        </w:rPr>
        <w:t>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</w:t>
      </w:r>
      <w:r w:rsidR="006019ED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Міністерства юстиції України від 19 червня 2013 року №1227/5 і</w:t>
      </w:r>
      <w:r w:rsidR="006019ED" w:rsidRPr="008441E9">
        <w:rPr>
          <w:rFonts w:ascii="Times New Roman" w:hAnsi="Times New Roman"/>
          <w:sz w:val="28"/>
          <w:szCs w:val="28"/>
          <w:lang w:val="uk-UA"/>
        </w:rPr>
        <w:t>з змінами і доповненнями, внесениминаказом Міністерства юстиції Українивід 25 квітня 2014 року N 692/5</w:t>
      </w:r>
      <w:r w:rsidR="006019ED">
        <w:rPr>
          <w:rFonts w:ascii="Times New Roman" w:hAnsi="Times New Roman"/>
          <w:sz w:val="28"/>
          <w:szCs w:val="28"/>
          <w:lang w:val="uk-UA"/>
        </w:rPr>
        <w:t>, 02 листопада 2015 року №2163/5 та від 27 червня 2018 року №2057/5.</w:t>
      </w:r>
    </w:p>
    <w:p w:rsidR="006019ED" w:rsidRDefault="006019ED" w:rsidP="00B65E15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Організацію роботи по виконанню рішення виконавчого комітету міської ради доручити начальнику архівного відділу міської ради</w:t>
      </w:r>
      <w:r w:rsidR="00443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Ішутіновій</w:t>
      </w:r>
      <w:proofErr w:type="spellEnd"/>
      <w:r w:rsidR="0044363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А.О., контроль покласти на керуючу справами виконавчого комітету міської ради Журавель Л.І.</w:t>
      </w:r>
    </w:p>
    <w:p w:rsidR="006019ED" w:rsidRDefault="006019ED" w:rsidP="006019ED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6019ED" w:rsidRDefault="006019ED" w:rsidP="006019ED">
      <w:pPr>
        <w:tabs>
          <w:tab w:val="left" w:pos="709"/>
        </w:tabs>
        <w:spacing w:after="0" w:line="20" w:lineRule="atLeast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6019ED" w:rsidRDefault="006019ED" w:rsidP="006019ED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019ED" w:rsidRDefault="006019ED" w:rsidP="006019ED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6019ED" w:rsidRDefault="00E85F8D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E85F8D" w:rsidRDefault="00E85F8D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4436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443636" w:rsidRDefault="00443636" w:rsidP="006019ED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57D81" w:rsidRDefault="00257D81">
      <w:pPr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43636" w:rsidRPr="00443636" w:rsidRDefault="00443636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636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443636" w:rsidRPr="00443636" w:rsidRDefault="00443636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636">
        <w:rPr>
          <w:rFonts w:ascii="Times New Roman" w:hAnsi="Times New Roman"/>
          <w:b/>
          <w:sz w:val="28"/>
          <w:szCs w:val="28"/>
          <w:lang w:val="uk-UA"/>
        </w:rPr>
        <w:t>про роботу архівного відділу Синельниківської міської ради</w:t>
      </w:r>
    </w:p>
    <w:p w:rsidR="00443636" w:rsidRPr="00443636" w:rsidRDefault="00443636" w:rsidP="0044363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636">
        <w:rPr>
          <w:rFonts w:ascii="Times New Roman" w:hAnsi="Times New Roman"/>
          <w:b/>
          <w:sz w:val="28"/>
          <w:szCs w:val="28"/>
          <w:lang w:val="uk-UA"/>
        </w:rPr>
        <w:t>за 2020 рік</w:t>
      </w: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Архівний відділ Синельниківської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міської ради, є структурним підрозділом міської ради, створений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згідно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від 06 вересня 2002 року№48-4-6/ХХ</w:t>
      </w:r>
      <w:r w:rsidRPr="00443636">
        <w:rPr>
          <w:rFonts w:ascii="Times New Roman" w:hAnsi="Times New Roman"/>
          <w:sz w:val="28"/>
          <w:szCs w:val="28"/>
          <w:lang w:val="en-US"/>
        </w:rPr>
        <w:t>IV</w:t>
      </w:r>
      <w:r w:rsidRPr="00443636">
        <w:rPr>
          <w:rFonts w:ascii="Times New Roman" w:hAnsi="Times New Roman"/>
          <w:sz w:val="28"/>
          <w:szCs w:val="28"/>
          <w:lang w:val="uk-UA"/>
        </w:rPr>
        <w:t>, підзвітний і підконтрольний міській раді, яка його утворила, підпорядкований її виконкому та міському голові, а з питань здійснення делегованих йому повноважень органів виконавчої влади у галузі архівної справи і діловодства також підконтрольний Державному архіву Дніпропетровської області, Державній архівній службі України в порядку, встановленому законом.</w:t>
      </w: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Функціональним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відділу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збереження документів, які мають історичну та інформаційну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цінність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Національного Архівного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Фонду.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23.12.2020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в архіві знаходиться на зберіганні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22 фонди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управлінської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документації постійного зберігання, що складає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2828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 одиниць зберігання, які є джерелом формування Національного Архівного Фонду.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Кількість одиниць зберігання цих фондів постійно збільшується в залежності від терміну зберігання документів в архівних підрозділах установ, які входять до списку джерел комплектування архіву. 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З метою недопущення втрати величезного масиву документів, необхідних для забезпечення прав та законних інтересів громадян на отримання інформації,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у зв'язку з відсутністю в місті трудового архіву, функції щодо зберігання документів з кадрових питань (особового складу) суб’єктів господарювання що ліквідуються та надання громадянам довідок соціально-правового характеру, а саме,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про стаж роботи та заробітну плату, про пільговий стаж та інші,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 покладено на архівний відділ Синельниківської міської ради. 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23.12.2020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року список суб’єктів господарювання, що ліквідувалися та передали на зберігання до архівного відділу документи з кадрових питань (особового складу), склав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90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 фондів, в кількості </w:t>
      </w:r>
      <w:r w:rsidRPr="00443636">
        <w:rPr>
          <w:rFonts w:ascii="Times New Roman" w:hAnsi="Times New Roman"/>
          <w:color w:val="000000"/>
          <w:sz w:val="28"/>
          <w:szCs w:val="28"/>
          <w:lang w:val="uk-UA"/>
        </w:rPr>
        <w:t>3823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 одиниць зберігання. 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Одним із пріоритетних напрямів роботи відділу є надання інформації соціально-правового характеру за запитами громадян і установ.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Протягом 2020 року до архівного відділу надійшло 147 звернень від громадян відповідно до яких підготовлено і видано 401 архівну довідку, з яких: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 w:cs="Times New Roman"/>
          <w:sz w:val="28"/>
          <w:szCs w:val="28"/>
          <w:lang w:val="uk-UA"/>
        </w:rPr>
        <w:t>довідки про заробітну плату для нарахування пенсій;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71довідка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 w:cs="Times New Roman"/>
          <w:sz w:val="28"/>
          <w:szCs w:val="28"/>
          <w:lang w:val="uk-UA"/>
        </w:rPr>
        <w:t>про підтвердження майнових прав громадян;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100 довідок про підтвердження трудового стажу громадян;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47 довідок про перейменування ліквідованих підприємств.</w:t>
      </w:r>
    </w:p>
    <w:p w:rsidR="00443636" w:rsidRPr="00BC686B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C686B">
        <w:rPr>
          <w:rFonts w:ascii="Times New Roman" w:hAnsi="Times New Roman"/>
          <w:sz w:val="28"/>
          <w:szCs w:val="28"/>
          <w:lang w:val="uk-UA"/>
        </w:rPr>
        <w:t xml:space="preserve">Щорічно переважають запити соціально-правового характеру, а саме, про стаж роботи та нарахування заробітної плати. Кількість запитів зростає відповідно до надходження документів на зберігання від суб'єктів господарювання та змін, що відбуваються в Пенсійному законодавстві, що пов’язано з нарахуванням або перерахунком нарахованої пенсії громадянам та з достроковим виходом на пенсію. </w:t>
      </w:r>
    </w:p>
    <w:p w:rsidR="00443636" w:rsidRPr="00443636" w:rsidRDefault="00443636" w:rsidP="004436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636">
        <w:rPr>
          <w:rFonts w:ascii="Times New Roman" w:hAnsi="Times New Roman" w:cs="Times New Roman"/>
          <w:sz w:val="28"/>
          <w:szCs w:val="28"/>
          <w:lang w:val="uk-UA"/>
        </w:rPr>
        <w:t>Протягом 2020 року Головним Управлінням Пенсійного фонду України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 w:cs="Times New Roman"/>
          <w:sz w:val="28"/>
          <w:szCs w:val="28"/>
          <w:lang w:val="uk-UA"/>
        </w:rPr>
        <w:t>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 w:cs="Times New Roman"/>
          <w:sz w:val="28"/>
          <w:szCs w:val="28"/>
          <w:lang w:val="uk-UA"/>
        </w:rPr>
        <w:t>проведено 7 перевірок щодо правильності видачі архівним відділом довідок для нарахування пенсій громадянам. У ході перевірок порушень з боку архівного відділу не виявлено про що складено відповідні акти.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Строки розгляду запитів не порушуються, запити виконуються безоплатно.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Відповідно до вимог чинного законодавства щодо проведення експертизи цінності документів, в архіві створена і працює Експертна комісія (далі – ЕК).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За 2020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ЕК архівного відділу розглянуто та схвалено: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31 номенклатура справ, із них 23 номенклатури справ , які надійшли від структурних підрозділів міської ради та 6 від комунальних підприємств міста.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211 одиниць зберігання управлінської документації та 77 одиниць зберігання документів з кадрових питань (особового складу).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9 Положень про експертні комісії підрозділів міської ради та 6 Положень про експертні комісії комунальних підприємств міста.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На виконання рішення виконавчого комітету міської ради від 24 грудня 2019 року №379 «Про роботу архівного відділу Синельниківської міської ради за 2019 рік» з метою дотримання нормативних вимог до організації своєчасного обліку документів, що надходять на зберігання до архівного відділу, звіряння й уточнення облікових даних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 xml:space="preserve">при перевірці та погоджені </w:t>
      </w:r>
      <w:proofErr w:type="spellStart"/>
      <w:r w:rsidRPr="00443636">
        <w:rPr>
          <w:rFonts w:ascii="Times New Roman" w:hAnsi="Times New Roman"/>
          <w:sz w:val="28"/>
          <w:szCs w:val="28"/>
          <w:lang w:val="uk-UA"/>
        </w:rPr>
        <w:t>номенклатур</w:t>
      </w:r>
      <w:proofErr w:type="spellEnd"/>
      <w:r w:rsidRPr="00443636">
        <w:rPr>
          <w:rFonts w:ascii="Times New Roman" w:hAnsi="Times New Roman"/>
          <w:sz w:val="28"/>
          <w:szCs w:val="28"/>
          <w:lang w:val="uk-UA"/>
        </w:rPr>
        <w:t xml:space="preserve"> справ, описів справ та актів про вилучення для знищення документів, не внесених до Національного архівного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відділів міської ради, самостійних управлінь та комунальних підприємств міста експертною комісією архівного відділу встановлено що всі вищезгадані установи керуються і дотримуються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 червня 2015 року №1000/5.</w:t>
      </w: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В установах, які перебувають в зоні комплектування архівного відділу міської ради, створено експертні комісії та Положення про експертну комісію установи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до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 затвердженого наказом Міністерства юстиції України від 19.06.2013 року №1227/5 із змінами і доповненнями, внесеними наказом Міністерства юстиції України від 25 квітня 2014 року N 692/5. Надано рекомендації при кадрових змінах оновлювати склад експертної комісії установи.</w:t>
      </w:r>
    </w:p>
    <w:p w:rsidR="00443636" w:rsidRPr="00443636" w:rsidRDefault="00443636" w:rsidP="0044363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На виконання Програми здійснення контролю за наявністю, станом і рухом документів Національного Архівного Фонду на 2020-2024 роки архівним відділом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у 2020 році перевірено 611 одиниць зберігання, про що складено відповідний акт.</w:t>
      </w: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На виконання нормативних вимог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3636">
        <w:rPr>
          <w:rFonts w:ascii="Times New Roman" w:hAnsi="Times New Roman"/>
          <w:sz w:val="28"/>
          <w:szCs w:val="28"/>
          <w:lang w:val="uk-UA"/>
        </w:rPr>
        <w:t>умов зберігання документів НАФ в архівосховищі встановлено пожежну сигналізацію тип автоматики РС585. Вона знаходиться у справному стані.</w:t>
      </w:r>
    </w:p>
    <w:p w:rsidR="00443636" w:rsidRPr="00443636" w:rsidRDefault="00443636" w:rsidP="004436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636" w:rsidRPr="00443636" w:rsidRDefault="00443636" w:rsidP="00443636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443636">
        <w:rPr>
          <w:rFonts w:ascii="Times New Roman" w:hAnsi="Times New Roman"/>
          <w:sz w:val="28"/>
          <w:szCs w:val="28"/>
          <w:lang w:val="uk-UA"/>
        </w:rPr>
        <w:t>Начальник архівного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43636">
        <w:rPr>
          <w:rFonts w:ascii="Times New Roman" w:hAnsi="Times New Roman"/>
          <w:sz w:val="28"/>
          <w:szCs w:val="28"/>
          <w:lang w:val="uk-UA"/>
        </w:rPr>
        <w:t>А.О.</w:t>
      </w:r>
      <w:proofErr w:type="spellStart"/>
      <w:r w:rsidRPr="00443636">
        <w:rPr>
          <w:rFonts w:ascii="Times New Roman" w:hAnsi="Times New Roman"/>
          <w:sz w:val="28"/>
          <w:szCs w:val="28"/>
          <w:lang w:val="uk-UA"/>
        </w:rPr>
        <w:t>Ішутінова</w:t>
      </w:r>
      <w:proofErr w:type="spellEnd"/>
    </w:p>
    <w:sectPr w:rsidR="00443636" w:rsidRPr="00443636" w:rsidSect="0044363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9ED"/>
    <w:rsid w:val="00026DEA"/>
    <w:rsid w:val="000A2E5B"/>
    <w:rsid w:val="00143BB8"/>
    <w:rsid w:val="00257D81"/>
    <w:rsid w:val="00362833"/>
    <w:rsid w:val="00443636"/>
    <w:rsid w:val="00460B79"/>
    <w:rsid w:val="006019ED"/>
    <w:rsid w:val="00777A52"/>
    <w:rsid w:val="007A253A"/>
    <w:rsid w:val="008024C0"/>
    <w:rsid w:val="00817A29"/>
    <w:rsid w:val="00916DCC"/>
    <w:rsid w:val="009D6172"/>
    <w:rsid w:val="009E1039"/>
    <w:rsid w:val="00A908BD"/>
    <w:rsid w:val="00B65E15"/>
    <w:rsid w:val="00BC686B"/>
    <w:rsid w:val="00D81E5A"/>
    <w:rsid w:val="00E85F8D"/>
    <w:rsid w:val="00F7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D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9ED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6019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D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9ED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601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1389</Words>
  <Characters>7919</Characters>
  <Application>Microsoft Office Word</Application>
  <DocSecurity>0</DocSecurity>
  <Lines>65</Lines>
  <Paragraphs>18</Paragraphs>
  <ScaleCrop>false</ScaleCrop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2020-12-22T06:56:00Z</cp:lastPrinted>
  <dcterms:created xsi:type="dcterms:W3CDTF">2020-12-01T14:20:00Z</dcterms:created>
  <dcterms:modified xsi:type="dcterms:W3CDTF">2020-12-29T06:26:00Z</dcterms:modified>
</cp:coreProperties>
</file>